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02C" w:rsidRDefault="007A32C3">
      <w:pPr>
        <w:rPr>
          <w:noProof/>
          <w:lang w:eastAsia="zh-HK"/>
        </w:rPr>
      </w:pPr>
      <w:r>
        <w:rPr>
          <w:noProof/>
        </w:rPr>
        <w:drawing>
          <wp:anchor distT="0" distB="0" distL="114300" distR="114300" simplePos="0" relativeHeight="251665408" behindDoc="0" locked="0" layoutInCell="1" allowOverlap="1">
            <wp:simplePos x="0" y="0"/>
            <wp:positionH relativeFrom="page">
              <wp:align>left</wp:align>
            </wp:positionH>
            <wp:positionV relativeFrom="page">
              <wp:align>top</wp:align>
            </wp:positionV>
            <wp:extent cx="7565647" cy="1744980"/>
            <wp:effectExtent l="0" t="0" r="0" b="7620"/>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社聯彩色01.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65647" cy="1744980"/>
                    </a:xfrm>
                    <a:prstGeom prst="rect">
                      <a:avLst/>
                    </a:prstGeom>
                  </pic:spPr>
                </pic:pic>
              </a:graphicData>
            </a:graphic>
          </wp:anchor>
        </w:drawing>
      </w:r>
      <w:r>
        <w:rPr>
          <w:noProof/>
        </w:rPr>
        <w:drawing>
          <wp:anchor distT="0" distB="0" distL="114300" distR="114300" simplePos="0" relativeHeight="251666432" behindDoc="0" locked="0" layoutInCell="1" allowOverlap="1">
            <wp:simplePos x="0" y="0"/>
            <wp:positionH relativeFrom="column">
              <wp:posOffset>-1135380</wp:posOffset>
            </wp:positionH>
            <wp:positionV relativeFrom="page">
              <wp:posOffset>9311640</wp:posOffset>
            </wp:positionV>
            <wp:extent cx="7529195" cy="1371600"/>
            <wp:effectExtent l="0" t="0" r="0" b="0"/>
            <wp:wrapNone/>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社聯彩色02.jp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29195" cy="1371600"/>
                    </a:xfrm>
                    <a:prstGeom prst="rect">
                      <a:avLst/>
                    </a:prstGeom>
                  </pic:spPr>
                </pic:pic>
              </a:graphicData>
            </a:graphic>
          </wp:anchor>
        </w:drawing>
      </w:r>
      <w:r>
        <w:rPr>
          <w:noProof/>
        </w:rPr>
        <w:t xml:space="preserve">  </w:t>
      </w:r>
      <w:bookmarkStart w:id="0" w:name="_GoBack"/>
      <w:bookmarkEnd w:id="0"/>
    </w:p>
    <w:p w:rsidR="00785701" w:rsidRDefault="00785701">
      <w:pPr>
        <w:rPr>
          <w:noProof/>
          <w:lang w:eastAsia="zh-HK"/>
        </w:rPr>
      </w:pPr>
    </w:p>
    <w:p w:rsidR="00785701" w:rsidRDefault="00785701">
      <w:pPr>
        <w:rPr>
          <w:noProof/>
          <w:lang w:eastAsia="zh-HK"/>
        </w:rPr>
      </w:pPr>
    </w:p>
    <w:p w:rsidR="00785701" w:rsidRDefault="00785701">
      <w:pPr>
        <w:rPr>
          <w:noProof/>
          <w:lang w:eastAsia="zh-HK"/>
        </w:rPr>
      </w:pPr>
    </w:p>
    <w:p w:rsidR="00785701" w:rsidRDefault="00785701" w:rsidP="00785701">
      <w:pPr>
        <w:rPr>
          <w:rFonts w:eastAsia="標楷體"/>
          <w:szCs w:val="24"/>
        </w:rPr>
      </w:pPr>
      <w:r>
        <w:rPr>
          <w:rFonts w:eastAsia="標楷體"/>
          <w:noProof/>
          <w:szCs w:val="24"/>
        </w:rPr>
        <w:drawing>
          <wp:anchor distT="0" distB="0" distL="114300" distR="114300" simplePos="0" relativeHeight="251668480" behindDoc="0" locked="0" layoutInCell="1" allowOverlap="1">
            <wp:simplePos x="0" y="0"/>
            <wp:positionH relativeFrom="page">
              <wp:posOffset>0</wp:posOffset>
            </wp:positionH>
            <wp:positionV relativeFrom="page">
              <wp:posOffset>0</wp:posOffset>
            </wp:positionV>
            <wp:extent cx="7565390" cy="1599565"/>
            <wp:effectExtent l="19050" t="0" r="0" b="0"/>
            <wp:wrapNone/>
            <wp:docPr id="2"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pic:cNvPicPr>
                      <a:picLocks noChangeAspect="1" noChangeArrowheads="1"/>
                    </pic:cNvPicPr>
                  </pic:nvPicPr>
                  <pic:blipFill>
                    <a:blip r:embed="rId8" cstate="print"/>
                    <a:srcRect b="8356"/>
                    <a:stretch>
                      <a:fillRect/>
                    </a:stretch>
                  </pic:blipFill>
                  <pic:spPr bwMode="auto">
                    <a:xfrm>
                      <a:off x="0" y="0"/>
                      <a:ext cx="7565390" cy="1599565"/>
                    </a:xfrm>
                    <a:prstGeom prst="rect">
                      <a:avLst/>
                    </a:prstGeom>
                    <a:noFill/>
                    <a:ln w="9525">
                      <a:noFill/>
                      <a:miter lim="800000"/>
                      <a:headEnd/>
                      <a:tailEnd/>
                    </a:ln>
                  </pic:spPr>
                </pic:pic>
              </a:graphicData>
            </a:graphic>
          </wp:anchor>
        </w:drawing>
      </w:r>
      <w:r>
        <w:rPr>
          <w:rFonts w:eastAsia="標楷體"/>
          <w:szCs w:val="24"/>
        </w:rPr>
        <w:t xml:space="preserve">  </w:t>
      </w:r>
    </w:p>
    <w:p w:rsidR="00785701" w:rsidRDefault="00785701" w:rsidP="00785701">
      <w:pPr>
        <w:spacing w:line="0" w:lineRule="atLeast"/>
        <w:jc w:val="center"/>
        <w:rPr>
          <w:rFonts w:eastAsia="標楷體"/>
          <w:b/>
          <w:sz w:val="36"/>
          <w:szCs w:val="36"/>
        </w:rPr>
      </w:pPr>
      <w:r>
        <w:rPr>
          <w:rFonts w:eastAsia="標楷體" w:hAnsi="標楷體"/>
          <w:b/>
          <w:sz w:val="36"/>
          <w:szCs w:val="36"/>
        </w:rPr>
        <w:t>貧窮住戶房屋及食物開支</w:t>
      </w:r>
      <w:r>
        <w:rPr>
          <w:rFonts w:eastAsia="標楷體" w:hAnsi="標楷體" w:hint="eastAsia"/>
          <w:b/>
          <w:sz w:val="36"/>
          <w:szCs w:val="36"/>
        </w:rPr>
        <w:t>佔</w:t>
      </w:r>
      <w:r>
        <w:rPr>
          <w:rFonts w:eastAsia="標楷體" w:hAnsi="標楷體" w:hint="eastAsia"/>
          <w:b/>
          <w:sz w:val="36"/>
          <w:szCs w:val="36"/>
        </w:rPr>
        <w:t>7</w:t>
      </w:r>
      <w:r>
        <w:rPr>
          <w:rFonts w:eastAsia="標楷體" w:hAnsi="標楷體" w:hint="eastAsia"/>
          <w:b/>
          <w:sz w:val="36"/>
          <w:szCs w:val="36"/>
        </w:rPr>
        <w:t>成</w:t>
      </w:r>
    </w:p>
    <w:p w:rsidR="00785701" w:rsidRDefault="00785701" w:rsidP="00785701">
      <w:pPr>
        <w:jc w:val="center"/>
        <w:rPr>
          <w:rFonts w:eastAsia="標楷體"/>
          <w:b/>
          <w:sz w:val="32"/>
          <w:szCs w:val="32"/>
        </w:rPr>
      </w:pPr>
      <w:r>
        <w:rPr>
          <w:rFonts w:eastAsia="標楷體" w:hAnsi="標楷體"/>
          <w:b/>
          <w:sz w:val="32"/>
          <w:szCs w:val="32"/>
        </w:rPr>
        <w:t>基層家庭開支模式研究</w:t>
      </w:r>
    </w:p>
    <w:p w:rsidR="00785701" w:rsidRDefault="00785701" w:rsidP="00785701">
      <w:pPr>
        <w:rPr>
          <w:rFonts w:eastAsia="標楷體"/>
          <w:szCs w:val="24"/>
        </w:rPr>
      </w:pPr>
    </w:p>
    <w:p w:rsidR="00785701" w:rsidRDefault="00785701" w:rsidP="00785701">
      <w:pPr>
        <w:jc w:val="both"/>
        <w:rPr>
          <w:rFonts w:eastAsia="標楷體"/>
          <w:szCs w:val="24"/>
        </w:rPr>
      </w:pPr>
      <w:r>
        <w:rPr>
          <w:rFonts w:eastAsia="標楷體" w:hAnsi="標楷體"/>
          <w:b/>
          <w:szCs w:val="24"/>
        </w:rPr>
        <w:t>【新聞稿</w:t>
      </w:r>
      <w:r>
        <w:rPr>
          <w:rFonts w:eastAsia="標楷體"/>
          <w:b/>
          <w:szCs w:val="24"/>
        </w:rPr>
        <w:t xml:space="preserve"> 2017</w:t>
      </w:r>
      <w:r>
        <w:rPr>
          <w:rFonts w:eastAsia="標楷體" w:hAnsi="標楷體"/>
          <w:b/>
          <w:szCs w:val="24"/>
        </w:rPr>
        <w:t>年</w:t>
      </w:r>
      <w:r>
        <w:rPr>
          <w:rFonts w:eastAsia="標楷體"/>
          <w:b/>
          <w:szCs w:val="24"/>
        </w:rPr>
        <w:t>10</w:t>
      </w:r>
      <w:r>
        <w:rPr>
          <w:rFonts w:eastAsia="標楷體" w:hAnsi="標楷體"/>
          <w:b/>
          <w:szCs w:val="24"/>
        </w:rPr>
        <w:t>月</w:t>
      </w:r>
      <w:r>
        <w:rPr>
          <w:rFonts w:eastAsia="標楷體"/>
          <w:b/>
          <w:szCs w:val="24"/>
        </w:rPr>
        <w:t>9</w:t>
      </w:r>
      <w:r>
        <w:rPr>
          <w:rFonts w:eastAsia="標楷體" w:hAnsi="標楷體"/>
          <w:b/>
          <w:szCs w:val="24"/>
        </w:rPr>
        <w:t>日】</w:t>
      </w:r>
      <w:r>
        <w:rPr>
          <w:rFonts w:eastAsia="標楷體" w:hAnsi="標楷體"/>
          <w:szCs w:val="24"/>
        </w:rPr>
        <w:t>香港社會服務聯會（社聯）以政府統計處在</w:t>
      </w:r>
      <w:r>
        <w:rPr>
          <w:rFonts w:eastAsia="標楷體"/>
          <w:szCs w:val="24"/>
        </w:rPr>
        <w:t>2009/10</w:t>
      </w:r>
      <w:r>
        <w:rPr>
          <w:rFonts w:eastAsia="標楷體" w:hAnsi="標楷體"/>
          <w:szCs w:val="24"/>
        </w:rPr>
        <w:t>及</w:t>
      </w:r>
      <w:r>
        <w:rPr>
          <w:rFonts w:eastAsia="標楷體"/>
          <w:szCs w:val="24"/>
        </w:rPr>
        <w:t>2014/15</w:t>
      </w:r>
      <w:r>
        <w:rPr>
          <w:rFonts w:eastAsia="標楷體" w:hAnsi="標楷體"/>
          <w:szCs w:val="24"/>
        </w:rPr>
        <w:t>年度進行的《住戶開支統計調查》的數據，分析期內五年貧窮住戶每月在食物、房屋及教育等方面的開支和整體的收支平衡。</w:t>
      </w:r>
    </w:p>
    <w:p w:rsidR="00785701" w:rsidRDefault="00785701" w:rsidP="00785701">
      <w:pPr>
        <w:rPr>
          <w:rFonts w:eastAsia="標楷體"/>
          <w:szCs w:val="24"/>
        </w:rPr>
      </w:pPr>
    </w:p>
    <w:p w:rsidR="00785701" w:rsidRDefault="00785701" w:rsidP="00785701">
      <w:pPr>
        <w:rPr>
          <w:rFonts w:eastAsia="標楷體" w:cs="Arial"/>
          <w:color w:val="170D01"/>
          <w:kern w:val="0"/>
          <w:szCs w:val="24"/>
        </w:rPr>
      </w:pPr>
      <w:r>
        <w:rPr>
          <w:rFonts w:eastAsia="標楷體" w:hAnsi="標楷體" w:cs="Arial"/>
          <w:color w:val="170D01"/>
          <w:kern w:val="0"/>
          <w:szCs w:val="24"/>
        </w:rPr>
        <w:t>由於「住戶開支統計調查」對象並不包括接受綜合社會保障援助計劃（綜援）的住戶，因此是次研究的結果反映了綜援網外基層家庭的情況。研究單位先按住戶人數劃分，再按住戶總開支排列，將住戶分為十一個開支組別，藉以比較低開支組別與高開支組別的差異。</w:t>
      </w:r>
    </w:p>
    <w:p w:rsidR="00785701" w:rsidRDefault="00785701" w:rsidP="00785701">
      <w:pPr>
        <w:rPr>
          <w:rFonts w:eastAsia="標楷體"/>
          <w:szCs w:val="24"/>
        </w:rPr>
      </w:pPr>
    </w:p>
    <w:p w:rsidR="00785701" w:rsidRDefault="00785701" w:rsidP="00785701">
      <w:pPr>
        <w:rPr>
          <w:rFonts w:eastAsia="標楷體"/>
          <w:szCs w:val="24"/>
        </w:rPr>
      </w:pPr>
      <w:r>
        <w:rPr>
          <w:rFonts w:eastAsia="標楷體" w:hAnsi="標楷體"/>
          <w:szCs w:val="24"/>
        </w:rPr>
        <w:t>研究發現</w:t>
      </w:r>
      <w:r>
        <w:rPr>
          <w:rFonts w:eastAsia="標楷體"/>
          <w:szCs w:val="24"/>
        </w:rPr>
        <w:t>2014/15</w:t>
      </w:r>
      <w:r>
        <w:rPr>
          <w:rFonts w:eastAsia="標楷體" w:hAnsi="標楷體"/>
          <w:szCs w:val="24"/>
        </w:rPr>
        <w:t>年度開支較低的住户的食物開支佔總開支非常高的比例，以開支最低</w:t>
      </w:r>
      <w:r>
        <w:rPr>
          <w:rFonts w:eastAsia="標楷體"/>
          <w:szCs w:val="24"/>
        </w:rPr>
        <w:t>5%</w:t>
      </w:r>
      <w:r>
        <w:rPr>
          <w:rFonts w:eastAsia="標楷體" w:hAnsi="標楷體"/>
          <w:szCs w:val="24"/>
        </w:rPr>
        <w:t>住戶組別為例，他們每月總開支只有</w:t>
      </w:r>
      <w:r>
        <w:rPr>
          <w:rFonts w:eastAsia="標楷體"/>
          <w:szCs w:val="24"/>
        </w:rPr>
        <w:t>$6</w:t>
      </w:r>
      <w:r w:rsidR="0077555E">
        <w:rPr>
          <w:rFonts w:eastAsia="標楷體" w:hint="eastAsia"/>
          <w:szCs w:val="24"/>
          <w:lang w:eastAsia="zh-HK"/>
        </w:rPr>
        <w:t>,</w:t>
      </w:r>
      <w:r>
        <w:rPr>
          <w:rFonts w:eastAsia="標楷體"/>
          <w:szCs w:val="24"/>
        </w:rPr>
        <w:t>172</w:t>
      </w:r>
      <w:r>
        <w:rPr>
          <w:rFonts w:eastAsia="標楷體" w:hAnsi="標楷體"/>
          <w:szCs w:val="24"/>
        </w:rPr>
        <w:t>，但食物開支佔總開支的比例接近</w:t>
      </w:r>
      <w:r>
        <w:rPr>
          <w:rFonts w:eastAsia="標楷體"/>
          <w:szCs w:val="24"/>
        </w:rPr>
        <w:t>50%</w:t>
      </w:r>
      <w:r>
        <w:rPr>
          <w:rFonts w:eastAsia="標楷體" w:hAnsi="標楷體"/>
          <w:szCs w:val="24"/>
        </w:rPr>
        <w:t>，如連同約</w:t>
      </w:r>
      <w:r>
        <w:rPr>
          <w:rFonts w:eastAsia="標楷體"/>
          <w:szCs w:val="24"/>
        </w:rPr>
        <w:t>20%</w:t>
      </w:r>
      <w:r>
        <w:rPr>
          <w:rFonts w:eastAsia="標楷體" w:hAnsi="標楷體"/>
          <w:szCs w:val="24"/>
        </w:rPr>
        <w:t>的房屋開支，他們只剩</w:t>
      </w:r>
      <w:r>
        <w:rPr>
          <w:rFonts w:eastAsia="標楷體"/>
          <w:szCs w:val="24"/>
        </w:rPr>
        <w:t>30%</w:t>
      </w:r>
      <w:r>
        <w:rPr>
          <w:rFonts w:eastAsia="標楷體" w:hAnsi="標楷體"/>
          <w:szCs w:val="24"/>
        </w:rPr>
        <w:t>用於其他開支。</w:t>
      </w:r>
    </w:p>
    <w:p w:rsidR="00785701" w:rsidRDefault="00785701" w:rsidP="00785701">
      <w:pPr>
        <w:rPr>
          <w:rFonts w:eastAsia="標楷體"/>
          <w:szCs w:val="24"/>
        </w:rPr>
      </w:pPr>
    </w:p>
    <w:p w:rsidR="00785701" w:rsidRDefault="00785701" w:rsidP="00785701">
      <w:pPr>
        <w:rPr>
          <w:rFonts w:eastAsia="標楷體"/>
          <w:szCs w:val="24"/>
        </w:rPr>
      </w:pPr>
      <w:r>
        <w:rPr>
          <w:rFonts w:eastAsia="標楷體" w:hAnsi="標楷體"/>
          <w:szCs w:val="24"/>
        </w:rPr>
        <w:t>同時，研究發現房屋對住戶開支模式有重大影響</w:t>
      </w:r>
      <w:r>
        <w:rPr>
          <w:rFonts w:eastAsia="標楷體" w:hAnsi="標楷體" w:hint="eastAsia"/>
          <w:szCs w:val="24"/>
        </w:rPr>
        <w:t>。檢視不同住戶人數組別中</w:t>
      </w:r>
      <w:r>
        <w:rPr>
          <w:rFonts w:eastAsia="標楷體" w:hAnsi="標楷體"/>
          <w:szCs w:val="24"/>
        </w:rPr>
        <w:t>開支最低</w:t>
      </w:r>
      <w:r>
        <w:rPr>
          <w:rFonts w:eastAsia="標楷體"/>
          <w:szCs w:val="24"/>
        </w:rPr>
        <w:t>50%</w:t>
      </w:r>
      <w:r>
        <w:rPr>
          <w:rFonts w:eastAsia="標楷體" w:hAnsi="標楷體"/>
          <w:szCs w:val="24"/>
        </w:rPr>
        <w:t>的住戶</w:t>
      </w:r>
      <w:r>
        <w:rPr>
          <w:rFonts w:eastAsia="標楷體" w:hAnsi="標楷體" w:hint="eastAsia"/>
          <w:szCs w:val="24"/>
        </w:rPr>
        <w:t>，可發現無論成員是多或少的住戶，</w:t>
      </w:r>
      <w:r>
        <w:rPr>
          <w:rFonts w:eastAsia="標楷體" w:hAnsi="標楷體"/>
          <w:szCs w:val="24"/>
        </w:rPr>
        <w:t>居於私樓</w:t>
      </w:r>
      <w:r>
        <w:rPr>
          <w:rFonts w:eastAsia="標楷體" w:hAnsi="標楷體" w:hint="eastAsia"/>
          <w:szCs w:val="24"/>
        </w:rPr>
        <w:t>的住戶用</w:t>
      </w:r>
      <w:r>
        <w:rPr>
          <w:rFonts w:eastAsia="標楷體" w:hAnsi="標楷體"/>
          <w:szCs w:val="24"/>
        </w:rPr>
        <w:t>於房屋的開支</w:t>
      </w:r>
      <w:r>
        <w:rPr>
          <w:rFonts w:eastAsia="標楷體" w:hAnsi="標楷體" w:hint="eastAsia"/>
          <w:szCs w:val="24"/>
        </w:rPr>
        <w:t>達其</w:t>
      </w:r>
      <w:r>
        <w:rPr>
          <w:rFonts w:eastAsia="標楷體" w:hAnsi="標楷體"/>
          <w:szCs w:val="24"/>
        </w:rPr>
        <w:t>總開支</w:t>
      </w:r>
      <w:r>
        <w:rPr>
          <w:rFonts w:eastAsia="標楷體" w:hAnsi="標楷體" w:hint="eastAsia"/>
          <w:szCs w:val="24"/>
        </w:rPr>
        <w:t>約</w:t>
      </w:r>
      <w:r>
        <w:rPr>
          <w:rFonts w:eastAsia="標楷體" w:hAnsi="標楷體"/>
          <w:szCs w:val="24"/>
        </w:rPr>
        <w:t>一半</w:t>
      </w:r>
      <w:r>
        <w:rPr>
          <w:rFonts w:eastAsia="標楷體" w:hint="eastAsia"/>
          <w:szCs w:val="24"/>
        </w:rPr>
        <w:t>；</w:t>
      </w:r>
      <w:r>
        <w:rPr>
          <w:rFonts w:eastAsia="標楷體" w:hAnsi="標楷體"/>
          <w:szCs w:val="24"/>
        </w:rPr>
        <w:t>其中以一人（</w:t>
      </w:r>
      <w:r>
        <w:rPr>
          <w:rFonts w:eastAsia="標楷體"/>
          <w:szCs w:val="24"/>
        </w:rPr>
        <w:t>56% /$4,951</w:t>
      </w:r>
      <w:r>
        <w:rPr>
          <w:rFonts w:eastAsia="標楷體" w:hAnsi="標楷體"/>
          <w:szCs w:val="24"/>
        </w:rPr>
        <w:t>）及二人（</w:t>
      </w:r>
      <w:r>
        <w:rPr>
          <w:rFonts w:eastAsia="標楷體"/>
          <w:szCs w:val="24"/>
        </w:rPr>
        <w:t>53.4% /$7,525</w:t>
      </w:r>
      <w:r>
        <w:rPr>
          <w:rFonts w:eastAsia="標楷體" w:hAnsi="標楷體"/>
          <w:szCs w:val="24"/>
        </w:rPr>
        <w:t>）住戶的房屋開支最高，這個水平較</w:t>
      </w:r>
      <w:r>
        <w:rPr>
          <w:rFonts w:eastAsia="標楷體"/>
          <w:szCs w:val="24"/>
        </w:rPr>
        <w:t>2009/10</w:t>
      </w:r>
      <w:r>
        <w:rPr>
          <w:rFonts w:eastAsia="標楷體" w:hAnsi="標楷體"/>
          <w:szCs w:val="24"/>
        </w:rPr>
        <w:t>年度有顯著上升。</w:t>
      </w:r>
      <w:r>
        <w:rPr>
          <w:rFonts w:eastAsia="標楷體" w:hAnsi="標楷體" w:hint="eastAsia"/>
          <w:szCs w:val="24"/>
        </w:rPr>
        <w:t>相反，</w:t>
      </w:r>
      <w:r>
        <w:rPr>
          <w:rFonts w:eastAsia="標楷體" w:hint="eastAsia"/>
          <w:szCs w:val="24"/>
        </w:rPr>
        <w:t>居於</w:t>
      </w:r>
      <w:r>
        <w:rPr>
          <w:rFonts w:eastAsia="標楷體" w:hAnsi="標楷體"/>
          <w:szCs w:val="24"/>
        </w:rPr>
        <w:t>公屋</w:t>
      </w:r>
      <w:r>
        <w:rPr>
          <w:rFonts w:eastAsia="標楷體" w:hAnsi="標楷體" w:hint="eastAsia"/>
          <w:szCs w:val="24"/>
        </w:rPr>
        <w:t>的</w:t>
      </w:r>
      <w:r>
        <w:rPr>
          <w:rFonts w:eastAsia="標楷體" w:hAnsi="標楷體"/>
          <w:szCs w:val="24"/>
        </w:rPr>
        <w:t>住戶</w:t>
      </w:r>
      <w:r>
        <w:rPr>
          <w:rFonts w:eastAsia="標楷體" w:hAnsi="標楷體" w:hint="eastAsia"/>
          <w:szCs w:val="24"/>
        </w:rPr>
        <w:t>，他們的</w:t>
      </w:r>
      <w:r>
        <w:rPr>
          <w:rFonts w:eastAsia="標楷體" w:hAnsi="標楷體"/>
          <w:szCs w:val="24"/>
        </w:rPr>
        <w:t>房屋開支只佔總開支的</w:t>
      </w:r>
      <w:r>
        <w:rPr>
          <w:rFonts w:eastAsia="標楷體"/>
          <w:szCs w:val="24"/>
        </w:rPr>
        <w:t>13.2%</w:t>
      </w:r>
      <w:r>
        <w:rPr>
          <w:rFonts w:eastAsia="標楷體" w:hAnsi="標楷體" w:hint="eastAsia"/>
          <w:szCs w:val="24"/>
        </w:rPr>
        <w:t>。</w:t>
      </w:r>
      <w:r>
        <w:rPr>
          <w:rFonts w:eastAsia="標楷體" w:hAnsi="標楷體"/>
          <w:szCs w:val="24"/>
        </w:rPr>
        <w:t>食物開支</w:t>
      </w:r>
      <w:r>
        <w:rPr>
          <w:rFonts w:eastAsia="標楷體" w:hAnsi="標楷體" w:hint="eastAsia"/>
          <w:szCs w:val="24"/>
        </w:rPr>
        <w:t>方面，居於私樓的住戶</w:t>
      </w:r>
      <w:r>
        <w:rPr>
          <w:rFonts w:eastAsia="標楷體" w:hAnsi="標楷體"/>
          <w:szCs w:val="24"/>
        </w:rPr>
        <w:t>食物開支只佔</w:t>
      </w:r>
      <w:r>
        <w:rPr>
          <w:rFonts w:eastAsia="標楷體"/>
          <w:szCs w:val="24"/>
        </w:rPr>
        <w:t>29%</w:t>
      </w:r>
      <w:r>
        <w:rPr>
          <w:rFonts w:eastAsia="標楷體" w:hAnsi="標楷體" w:hint="eastAsia"/>
          <w:szCs w:val="24"/>
        </w:rPr>
        <w:t>，而居於公屋的則</w:t>
      </w:r>
      <w:r>
        <w:rPr>
          <w:rFonts w:eastAsia="標楷體" w:hAnsi="標楷體"/>
          <w:szCs w:val="24"/>
        </w:rPr>
        <w:t>達到</w:t>
      </w:r>
      <w:r>
        <w:rPr>
          <w:rFonts w:eastAsia="標楷體"/>
          <w:szCs w:val="24"/>
        </w:rPr>
        <w:t>48.2%</w:t>
      </w:r>
      <w:r>
        <w:rPr>
          <w:rFonts w:eastAsia="標楷體" w:hint="eastAsia"/>
          <w:szCs w:val="24"/>
          <w:lang w:eastAsia="zh-HK"/>
        </w:rPr>
        <w:t>，</w:t>
      </w:r>
      <w:r>
        <w:rPr>
          <w:rFonts w:eastAsia="標楷體" w:hAnsi="標楷體" w:hint="eastAsia"/>
          <w:szCs w:val="24"/>
        </w:rPr>
        <w:t>相信</w:t>
      </w:r>
      <w:r>
        <w:rPr>
          <w:rFonts w:eastAsia="標楷體" w:hAnsi="標楷體"/>
          <w:szCs w:val="24"/>
        </w:rPr>
        <w:t>私樓住戶需要壓縮食物開支，以應付房屋上的沉重開支。</w:t>
      </w:r>
    </w:p>
    <w:p w:rsidR="00785701" w:rsidRDefault="00785701" w:rsidP="00785701">
      <w:pPr>
        <w:rPr>
          <w:rFonts w:eastAsia="標楷體"/>
          <w:szCs w:val="24"/>
        </w:rPr>
      </w:pPr>
    </w:p>
    <w:p w:rsidR="00785701" w:rsidRDefault="00785701" w:rsidP="00785701">
      <w:pPr>
        <w:rPr>
          <w:rFonts w:eastAsia="標楷體" w:hAnsi="標楷體"/>
          <w:szCs w:val="24"/>
        </w:rPr>
      </w:pPr>
      <w:r>
        <w:rPr>
          <w:rFonts w:eastAsia="標楷體" w:hAnsi="標楷體" w:hint="eastAsia"/>
          <w:szCs w:val="24"/>
        </w:rPr>
        <w:t>此外，本研究結合住戶收入與開支的數據作分析，發現</w:t>
      </w:r>
      <w:r>
        <w:rPr>
          <w:rFonts w:eastAsia="標楷體" w:hAnsi="標楷體" w:hint="eastAsia"/>
          <w:bCs/>
        </w:rPr>
        <w:t>在</w:t>
      </w:r>
      <w:r w:rsidR="003D1994">
        <w:rPr>
          <w:rFonts w:eastAsia="標楷體" w:hAnsi="標楷體"/>
          <w:bCs/>
        </w:rPr>
        <w:t>沒有申領綜援</w:t>
      </w:r>
      <w:r>
        <w:rPr>
          <w:rFonts w:eastAsia="標楷體" w:hAnsi="標楷體"/>
          <w:bCs/>
        </w:rPr>
        <w:t>貧窮住戶中</w:t>
      </w:r>
      <w:r>
        <w:rPr>
          <w:rFonts w:eastAsia="標楷體" w:hAnsi="標楷體" w:hint="eastAsia"/>
          <w:bCs/>
        </w:rPr>
        <w:t>入不敷支的狀況嚴重，當中超過五成</w:t>
      </w:r>
      <w:r>
        <w:rPr>
          <w:rFonts w:eastAsia="標楷體" w:hAnsi="標楷體" w:hint="eastAsia"/>
          <w:bCs/>
        </w:rPr>
        <w:t>(51%)</w:t>
      </w:r>
      <w:r>
        <w:rPr>
          <w:rFonts w:eastAsia="標楷體" w:hAnsi="標楷體" w:hint="eastAsia"/>
          <w:bCs/>
        </w:rPr>
        <w:t>出現入不敷支的情況，而居於私樓的貧窮住戶，更</w:t>
      </w:r>
      <w:r>
        <w:rPr>
          <w:rFonts w:eastAsia="標楷體" w:hAnsi="標楷體"/>
          <w:bCs/>
        </w:rPr>
        <w:t>有</w:t>
      </w:r>
      <w:r w:rsidR="00114432">
        <w:rPr>
          <w:rFonts w:eastAsia="標楷體" w:hint="eastAsia"/>
          <w:bCs/>
          <w:lang w:eastAsia="zh-HK"/>
        </w:rPr>
        <w:t>75</w:t>
      </w:r>
      <w:r w:rsidR="003D1994">
        <w:rPr>
          <w:rFonts w:eastAsia="標楷體" w:hint="eastAsia"/>
          <w:bCs/>
          <w:lang w:eastAsia="zh-HK"/>
        </w:rPr>
        <w:t>%</w:t>
      </w:r>
      <w:r>
        <w:rPr>
          <w:rFonts w:eastAsia="標楷體" w:hAnsi="標楷體"/>
          <w:bCs/>
        </w:rPr>
        <w:t>出現入不敷支的情況。</w:t>
      </w:r>
      <w:r>
        <w:rPr>
          <w:rFonts w:eastAsia="標楷體" w:hAnsi="標楷體" w:hint="eastAsia"/>
          <w:bCs/>
        </w:rPr>
        <w:t>此外，</w:t>
      </w:r>
      <w:r>
        <w:rPr>
          <w:rFonts w:eastAsia="標楷體" w:hAnsi="標楷體" w:hint="eastAsia"/>
          <w:szCs w:val="24"/>
        </w:rPr>
        <w:t>數據亦顯，即使</w:t>
      </w:r>
      <w:r>
        <w:rPr>
          <w:rFonts w:eastAsia="標楷體" w:hAnsi="標楷體"/>
          <w:szCs w:val="24"/>
        </w:rPr>
        <w:t>收入稍高於貧窮線的</w:t>
      </w:r>
      <w:r>
        <w:rPr>
          <w:rFonts w:eastAsia="標楷體" w:hAnsi="標楷體" w:hint="eastAsia"/>
          <w:szCs w:val="24"/>
        </w:rPr>
        <w:t>邊緣</w:t>
      </w:r>
      <w:r>
        <w:rPr>
          <w:rFonts w:eastAsia="標楷體" w:hAnsi="標楷體"/>
          <w:szCs w:val="24"/>
        </w:rPr>
        <w:t>住戶，仍有部份出現入不敷支的狀況，當中入息介乎入息中位數</w:t>
      </w:r>
      <w:r>
        <w:rPr>
          <w:rFonts w:eastAsia="標楷體"/>
          <w:szCs w:val="24"/>
        </w:rPr>
        <w:t>50%-80%</w:t>
      </w:r>
      <w:r>
        <w:rPr>
          <w:rFonts w:eastAsia="標楷體" w:hAnsi="標楷體"/>
          <w:szCs w:val="24"/>
        </w:rPr>
        <w:t>的住戶，入不敷支的比例</w:t>
      </w:r>
      <w:r>
        <w:rPr>
          <w:rFonts w:eastAsia="標楷體" w:hAnsi="標楷體" w:hint="eastAsia"/>
          <w:szCs w:val="24"/>
          <w:lang w:eastAsia="zh-HK"/>
        </w:rPr>
        <w:t>亦接近</w:t>
      </w:r>
      <w:r>
        <w:rPr>
          <w:rFonts w:eastAsia="標楷體" w:hAnsi="標楷體"/>
          <w:szCs w:val="24"/>
        </w:rPr>
        <w:t>三成。</w:t>
      </w:r>
    </w:p>
    <w:p w:rsidR="00785701" w:rsidRDefault="00785701" w:rsidP="00785701">
      <w:pPr>
        <w:rPr>
          <w:rFonts w:eastAsia="標楷體" w:hAnsi="標楷體"/>
          <w:szCs w:val="24"/>
          <w:lang w:eastAsia="zh-HK"/>
        </w:rPr>
      </w:pPr>
    </w:p>
    <w:p w:rsidR="00785701" w:rsidRDefault="00785701" w:rsidP="00785701">
      <w:pPr>
        <w:rPr>
          <w:rFonts w:eastAsia="標楷體" w:hAnsi="標楷體"/>
          <w:szCs w:val="24"/>
          <w:lang w:eastAsia="zh-HK"/>
        </w:rPr>
      </w:pPr>
    </w:p>
    <w:p w:rsidR="00785701" w:rsidRDefault="00785701" w:rsidP="00785701">
      <w:pPr>
        <w:rPr>
          <w:rFonts w:eastAsia="標楷體" w:hAnsi="標楷體"/>
          <w:szCs w:val="24"/>
          <w:lang w:eastAsia="zh-HK"/>
        </w:rPr>
      </w:pPr>
    </w:p>
    <w:p w:rsidR="00785701" w:rsidRDefault="00785701" w:rsidP="00785701">
      <w:pPr>
        <w:rPr>
          <w:rFonts w:eastAsia="標楷體" w:hAnsi="標楷體"/>
          <w:szCs w:val="24"/>
          <w:lang w:eastAsia="zh-HK"/>
        </w:rPr>
      </w:pPr>
    </w:p>
    <w:p w:rsidR="00785701" w:rsidRDefault="00785701" w:rsidP="00785701">
      <w:pPr>
        <w:rPr>
          <w:rFonts w:eastAsia="標楷體" w:hAnsi="標楷體"/>
          <w:bCs/>
        </w:rPr>
      </w:pPr>
      <w:r>
        <w:rPr>
          <w:rFonts w:eastAsia="標楷體" w:hAnsi="標楷體" w:hint="eastAsia"/>
          <w:szCs w:val="24"/>
        </w:rPr>
        <w:t>研究亦發現，</w:t>
      </w:r>
      <w:r>
        <w:rPr>
          <w:rFonts w:eastAsia="標楷體" w:hAnsi="標楷體"/>
        </w:rPr>
        <w:t>貧窮住戶</w:t>
      </w:r>
      <w:r>
        <w:rPr>
          <w:rFonts w:eastAsia="標楷體" w:hAnsi="標楷體" w:hint="eastAsia"/>
        </w:rPr>
        <w:t>中有</w:t>
      </w:r>
      <w:r>
        <w:rPr>
          <w:rFonts w:eastAsia="標楷體" w:hAnsi="標楷體"/>
          <w:bCs/>
        </w:rPr>
        <w:t>超過</w:t>
      </w:r>
      <w:r>
        <w:rPr>
          <w:rFonts w:eastAsia="標楷體"/>
          <w:bCs/>
        </w:rPr>
        <w:t>4</w:t>
      </w:r>
      <w:r>
        <w:rPr>
          <w:rFonts w:eastAsia="標楷體" w:hAnsi="標楷體"/>
          <w:bCs/>
        </w:rPr>
        <w:t>成貧窮住戶出現食物匱乏</w:t>
      </w:r>
      <w:r>
        <w:rPr>
          <w:rFonts w:eastAsia="標楷體" w:hAnsi="標楷體" w:hint="eastAsia"/>
          <w:bCs/>
        </w:rPr>
        <w:t>的狀況</w:t>
      </w:r>
      <w:r>
        <w:rPr>
          <w:rFonts w:eastAsia="標楷體" w:hAnsi="標楷體"/>
          <w:bCs/>
        </w:rPr>
        <w:t>，</w:t>
      </w:r>
      <w:r>
        <w:rPr>
          <w:rFonts w:eastAsia="標楷體" w:hAnsi="標楷體" w:hint="eastAsia"/>
          <w:bCs/>
        </w:rPr>
        <w:t>即每月用於食物的開支，不足以達至營養師建議的</w:t>
      </w:r>
      <w:r>
        <w:rPr>
          <w:rFonts w:eastAsia="標楷體" w:hAnsi="標楷體"/>
          <w:bCs/>
        </w:rPr>
        <w:t>基本食物營養需要。若以</w:t>
      </w:r>
      <w:r>
        <w:rPr>
          <w:rFonts w:eastAsia="標楷體"/>
          <w:bCs/>
        </w:rPr>
        <w:t>3</w:t>
      </w:r>
      <w:r>
        <w:rPr>
          <w:rFonts w:eastAsia="標楷體" w:hAnsi="標楷體"/>
          <w:bCs/>
        </w:rPr>
        <w:t>人家庭計算，平均每人每餐</w:t>
      </w:r>
      <w:r>
        <w:rPr>
          <w:rFonts w:eastAsia="標楷體" w:hAnsi="標楷體" w:hint="eastAsia"/>
          <w:bCs/>
        </w:rPr>
        <w:t>的可用開支</w:t>
      </w:r>
      <w:r>
        <w:rPr>
          <w:rFonts w:eastAsia="標楷體" w:hAnsi="標楷體"/>
          <w:bCs/>
        </w:rPr>
        <w:t>不足</w:t>
      </w:r>
      <w:r>
        <w:rPr>
          <w:rFonts w:eastAsia="標楷體"/>
          <w:bCs/>
        </w:rPr>
        <w:t>15</w:t>
      </w:r>
      <w:r>
        <w:rPr>
          <w:rFonts w:eastAsia="標楷體" w:hAnsi="標楷體"/>
          <w:bCs/>
        </w:rPr>
        <w:t>元。</w:t>
      </w:r>
    </w:p>
    <w:p w:rsidR="00785701" w:rsidRDefault="00785701" w:rsidP="00785701">
      <w:pPr>
        <w:rPr>
          <w:rFonts w:eastAsia="標楷體"/>
          <w:szCs w:val="24"/>
        </w:rPr>
      </w:pPr>
    </w:p>
    <w:p w:rsidR="00785701" w:rsidRDefault="00785701" w:rsidP="00785701">
      <w:pPr>
        <w:jc w:val="both"/>
        <w:rPr>
          <w:rFonts w:eastAsia="標楷體"/>
          <w:szCs w:val="24"/>
        </w:rPr>
      </w:pPr>
      <w:r w:rsidRPr="00785701">
        <w:rPr>
          <w:rFonts w:eastAsia="標楷體" w:hAnsi="標楷體"/>
          <w:b/>
          <w:szCs w:val="24"/>
        </w:rPr>
        <w:t>社聯業務總監黃健偉</w:t>
      </w:r>
      <w:r>
        <w:rPr>
          <w:rFonts w:eastAsia="標楷體" w:hAnsi="標楷體"/>
          <w:szCs w:val="24"/>
        </w:rPr>
        <w:t>表示，基層家庭的房屋及食物開支佔總開支很大比例，尤其是居住私樓的基層家庭，他們為了負擔昂貴的租金而壓縮食物開支，出現食物匱乏情況，三餐不飽，</w:t>
      </w:r>
      <w:r>
        <w:rPr>
          <w:rFonts w:eastAsia="標楷體" w:hAnsi="標楷體" w:hint="eastAsia"/>
          <w:szCs w:val="24"/>
        </w:rPr>
        <w:t>營養不足，</w:t>
      </w:r>
      <w:r>
        <w:rPr>
          <w:rFonts w:eastAsia="標楷體" w:hAnsi="標楷體"/>
          <w:szCs w:val="24"/>
        </w:rPr>
        <w:t>入住公屋成為他們改善生活質素的關鍵。特區政府必須正視問題，改善現金津貼制度</w:t>
      </w:r>
      <w:r>
        <w:rPr>
          <w:rFonts w:eastAsia="標楷體" w:hAnsi="標楷體" w:hint="eastAsia"/>
          <w:szCs w:val="24"/>
        </w:rPr>
        <w:t>固然有需要</w:t>
      </w:r>
      <w:r>
        <w:rPr>
          <w:rFonts w:eastAsia="標楷體" w:hAnsi="標楷體"/>
          <w:szCs w:val="24"/>
        </w:rPr>
        <w:t>，增建公屋及提供可負擔的過渡性</w:t>
      </w:r>
      <w:r>
        <w:rPr>
          <w:rFonts w:eastAsia="標楷體" w:hAnsi="標楷體"/>
        </w:rPr>
        <w:t>房屋</w:t>
      </w:r>
      <w:r>
        <w:rPr>
          <w:rFonts w:eastAsia="標楷體" w:hAnsi="標楷體" w:hint="eastAsia"/>
        </w:rPr>
        <w:t>亦十分重要</w:t>
      </w:r>
      <w:r>
        <w:rPr>
          <w:rFonts w:eastAsia="標楷體" w:hAnsi="標楷體"/>
        </w:rPr>
        <w:t>。</w:t>
      </w:r>
    </w:p>
    <w:p w:rsidR="00785701" w:rsidRDefault="00785701" w:rsidP="00785701">
      <w:pPr>
        <w:jc w:val="both"/>
        <w:rPr>
          <w:rFonts w:eastAsia="標楷體"/>
          <w:szCs w:val="24"/>
        </w:rPr>
      </w:pPr>
    </w:p>
    <w:p w:rsidR="00785701" w:rsidRDefault="00785701" w:rsidP="00785701">
      <w:pPr>
        <w:rPr>
          <w:rFonts w:eastAsia="標楷體" w:hAnsi="標楷體"/>
        </w:rPr>
      </w:pPr>
      <w:r>
        <w:rPr>
          <w:rFonts w:eastAsia="標楷體" w:hAnsi="標楷體"/>
        </w:rPr>
        <w:t>社聯提出以下政策建議：</w:t>
      </w:r>
    </w:p>
    <w:p w:rsidR="00785701" w:rsidRDefault="00785701" w:rsidP="00785701">
      <w:pPr>
        <w:rPr>
          <w:rFonts w:eastAsia="標楷體"/>
        </w:rPr>
      </w:pPr>
    </w:p>
    <w:p w:rsidR="00785701" w:rsidRDefault="00785701" w:rsidP="00785701">
      <w:pPr>
        <w:rPr>
          <w:rFonts w:eastAsia="標楷體"/>
          <w:u w:val="single"/>
        </w:rPr>
      </w:pPr>
      <w:r>
        <w:rPr>
          <w:rFonts w:eastAsia="標楷體" w:hAnsi="標楷體"/>
          <w:u w:val="single"/>
        </w:rPr>
        <w:t>改善低收入在職家庭津貼計劃</w:t>
      </w:r>
    </w:p>
    <w:p w:rsidR="00785701" w:rsidRDefault="00785701" w:rsidP="00785701">
      <w:pPr>
        <w:numPr>
          <w:ilvl w:val="0"/>
          <w:numId w:val="1"/>
        </w:numPr>
        <w:rPr>
          <w:rFonts w:eastAsia="標楷體"/>
        </w:rPr>
      </w:pPr>
      <w:r>
        <w:rPr>
          <w:rFonts w:eastAsia="標楷體" w:hAnsi="標楷體" w:hint="eastAsia"/>
        </w:rPr>
        <w:t>調升</w:t>
      </w:r>
      <w:r w:rsidR="003D1994">
        <w:rPr>
          <w:rFonts w:eastAsia="標楷體" w:hAnsi="標楷體"/>
        </w:rPr>
        <w:t>低收入在職家庭津貼的入息上限</w:t>
      </w:r>
      <w:r>
        <w:rPr>
          <w:rFonts w:eastAsia="標楷體" w:hAnsi="標楷體"/>
        </w:rPr>
        <w:t>，當中</w:t>
      </w:r>
      <w:r>
        <w:rPr>
          <w:rFonts w:eastAsia="標楷體" w:hAnsi="標楷體" w:hint="eastAsia"/>
        </w:rPr>
        <w:t>把</w:t>
      </w:r>
      <w:r>
        <w:rPr>
          <w:rFonts w:eastAsia="標楷體" w:hAnsi="標楷體"/>
        </w:rPr>
        <w:t>居住於公屋或自置物業的家庭</w:t>
      </w:r>
      <w:r>
        <w:rPr>
          <w:rFonts w:eastAsia="標楷體" w:hAnsi="標楷體" w:hint="eastAsia"/>
        </w:rPr>
        <w:t>領取半額津貼</w:t>
      </w:r>
      <w:r>
        <w:rPr>
          <w:rFonts w:eastAsia="標楷體" w:hAnsi="標楷體"/>
        </w:rPr>
        <w:t>的入息上限上調至中位數的</w:t>
      </w:r>
      <w:r>
        <w:rPr>
          <w:rFonts w:eastAsia="標楷體"/>
        </w:rPr>
        <w:t>70%</w:t>
      </w:r>
      <w:r>
        <w:rPr>
          <w:rFonts w:eastAsia="標楷體" w:hAnsi="標楷體"/>
        </w:rPr>
        <w:t>，租住私樓家庭</w:t>
      </w:r>
      <w:r>
        <w:rPr>
          <w:rFonts w:eastAsia="標楷體" w:hAnsi="標楷體" w:hint="eastAsia"/>
        </w:rPr>
        <w:t>領取半額津貼</w:t>
      </w:r>
      <w:r>
        <w:rPr>
          <w:rFonts w:eastAsia="標楷體" w:hAnsi="標楷體"/>
        </w:rPr>
        <w:t>的入息上限上調至入息中位數的</w:t>
      </w:r>
      <w:r>
        <w:rPr>
          <w:rFonts w:eastAsia="標楷體"/>
        </w:rPr>
        <w:t>80%</w:t>
      </w:r>
      <w:r>
        <w:rPr>
          <w:rFonts w:eastAsia="標楷體" w:hint="eastAsia"/>
        </w:rPr>
        <w:t>，同時把</w:t>
      </w:r>
      <w:r>
        <w:rPr>
          <w:rFonts w:eastAsia="標楷體" w:hint="eastAsia"/>
          <w:lang w:eastAsia="zh-HK"/>
        </w:rPr>
        <w:t>私樓</w:t>
      </w:r>
      <w:r>
        <w:rPr>
          <w:rFonts w:eastAsia="標楷體" w:hint="eastAsia"/>
        </w:rPr>
        <w:t>家庭</w:t>
      </w:r>
      <w:r>
        <w:rPr>
          <w:rFonts w:eastAsia="標楷體" w:hint="eastAsia"/>
          <w:lang w:eastAsia="zh-HK"/>
        </w:rPr>
        <w:t>領</w:t>
      </w:r>
      <w:r>
        <w:rPr>
          <w:rFonts w:eastAsia="標楷體" w:hint="eastAsia"/>
        </w:rPr>
        <w:t>取全額津貼的入息上限上調至入息中位數的</w:t>
      </w:r>
      <w:r>
        <w:rPr>
          <w:rFonts w:eastAsia="標楷體" w:hint="eastAsia"/>
        </w:rPr>
        <w:t>60%</w:t>
      </w:r>
      <w:r>
        <w:rPr>
          <w:rFonts w:eastAsia="標楷體" w:hint="eastAsia"/>
        </w:rPr>
        <w:t>，並給予這類家庭額外生活津貼</w:t>
      </w:r>
      <w:r>
        <w:rPr>
          <w:rFonts w:eastAsia="標楷體" w:hint="eastAsia"/>
        </w:rPr>
        <w:t>*</w:t>
      </w:r>
      <w:r>
        <w:rPr>
          <w:rFonts w:eastAsia="標楷體" w:hint="eastAsia"/>
        </w:rPr>
        <w:t>。</w:t>
      </w:r>
    </w:p>
    <w:p w:rsidR="00785701" w:rsidRDefault="00785701" w:rsidP="00785701">
      <w:pPr>
        <w:rPr>
          <w:rFonts w:eastAsia="標楷體"/>
        </w:rPr>
      </w:pPr>
    </w:p>
    <w:p w:rsidR="00785701" w:rsidRDefault="00785701" w:rsidP="00785701">
      <w:pPr>
        <w:rPr>
          <w:rFonts w:eastAsia="標楷體"/>
          <w:u w:val="single"/>
        </w:rPr>
      </w:pPr>
      <w:r>
        <w:rPr>
          <w:rFonts w:eastAsia="標楷體" w:hAnsi="標楷體"/>
          <w:u w:val="single"/>
        </w:rPr>
        <w:t>增建</w:t>
      </w:r>
      <w:r>
        <w:rPr>
          <w:rFonts w:eastAsia="標楷體" w:hAnsi="標楷體" w:hint="eastAsia"/>
          <w:u w:val="single"/>
        </w:rPr>
        <w:t>公</w:t>
      </w:r>
      <w:r>
        <w:rPr>
          <w:rFonts w:eastAsia="標楷體" w:hAnsi="標楷體"/>
          <w:u w:val="single"/>
        </w:rPr>
        <w:t>屋及</w:t>
      </w:r>
      <w:r>
        <w:rPr>
          <w:rFonts w:eastAsia="標楷體" w:hAnsi="標楷體" w:hint="eastAsia"/>
          <w:u w:val="single"/>
        </w:rPr>
        <w:t>過渡性</w:t>
      </w:r>
      <w:r>
        <w:rPr>
          <w:rFonts w:eastAsia="標楷體" w:hAnsi="標楷體"/>
          <w:u w:val="single"/>
        </w:rPr>
        <w:t>房屋</w:t>
      </w:r>
      <w:r>
        <w:rPr>
          <w:rFonts w:eastAsia="標楷體"/>
          <w:u w:val="single"/>
        </w:rPr>
        <w:t xml:space="preserve"> </w:t>
      </w:r>
    </w:p>
    <w:p w:rsidR="00785701" w:rsidRDefault="00785701" w:rsidP="00785701">
      <w:pPr>
        <w:numPr>
          <w:ilvl w:val="0"/>
          <w:numId w:val="1"/>
        </w:numPr>
        <w:rPr>
          <w:rFonts w:eastAsia="標楷體"/>
        </w:rPr>
      </w:pPr>
      <w:r>
        <w:rPr>
          <w:rFonts w:eastAsia="標楷體" w:hAnsi="標楷體"/>
        </w:rPr>
        <w:t>政府應該加</w:t>
      </w:r>
      <w:r>
        <w:rPr>
          <w:rFonts w:eastAsia="標楷體" w:hAnsi="標楷體" w:hint="eastAsia"/>
        </w:rPr>
        <w:t>速增</w:t>
      </w:r>
      <w:r>
        <w:rPr>
          <w:rFonts w:eastAsia="標楷體" w:hAnsi="標楷體"/>
        </w:rPr>
        <w:t>建公共房屋，縮短公屋輪候時間。除了增加公屋供應，政府亦應研究推出另類房屋的可能</w:t>
      </w:r>
      <w:r>
        <w:rPr>
          <w:rFonts w:eastAsia="標楷體" w:hAnsi="標楷體" w:hint="eastAsia"/>
        </w:rPr>
        <w:t>，</w:t>
      </w:r>
      <w:r>
        <w:rPr>
          <w:rFonts w:eastAsia="標楷體" w:hAnsi="標楷體"/>
        </w:rPr>
        <w:t>現時推行的社會房屋計劃，是向市民提供不同住屋選擇的重要嘗試</w:t>
      </w:r>
      <w:r>
        <w:rPr>
          <w:rFonts w:eastAsia="標楷體" w:hAnsi="標楷體" w:hint="eastAsia"/>
        </w:rPr>
        <w:t>，但政府應持續與民間一同探索更多可能性，並投入資源支援</w:t>
      </w:r>
      <w:r>
        <w:rPr>
          <w:rFonts w:eastAsia="標楷體" w:hAnsi="標楷體"/>
        </w:rPr>
        <w:t>。</w:t>
      </w:r>
      <w:r>
        <w:rPr>
          <w:rFonts w:eastAsia="標楷體"/>
        </w:rPr>
        <w:t xml:space="preserve"> </w:t>
      </w:r>
    </w:p>
    <w:p w:rsidR="00785701" w:rsidRDefault="00785701" w:rsidP="00785701">
      <w:pPr>
        <w:rPr>
          <w:rFonts w:eastAsia="標楷體"/>
        </w:rPr>
      </w:pPr>
    </w:p>
    <w:p w:rsidR="00785701" w:rsidRDefault="00785701" w:rsidP="00785701">
      <w:pPr>
        <w:rPr>
          <w:rFonts w:eastAsia="標楷體"/>
          <w:u w:val="single"/>
        </w:rPr>
      </w:pPr>
      <w:r>
        <w:rPr>
          <w:rFonts w:eastAsia="標楷體" w:hint="eastAsia"/>
          <w:u w:val="single"/>
        </w:rPr>
        <w:t>重置</w:t>
      </w:r>
      <w:r>
        <w:rPr>
          <w:rFonts w:eastAsia="標楷體" w:hint="eastAsia"/>
          <w:u w:val="single"/>
        </w:rPr>
        <w:t>N</w:t>
      </w:r>
      <w:r>
        <w:rPr>
          <w:rFonts w:eastAsia="標楷體" w:hint="eastAsia"/>
          <w:u w:val="single"/>
        </w:rPr>
        <w:t>無津貼及檢討綜援的租金援助措施</w:t>
      </w:r>
    </w:p>
    <w:p w:rsidR="00785701" w:rsidRDefault="00785701" w:rsidP="00785701">
      <w:pPr>
        <w:numPr>
          <w:ilvl w:val="0"/>
          <w:numId w:val="1"/>
        </w:numPr>
        <w:rPr>
          <w:rFonts w:eastAsia="標楷體"/>
        </w:rPr>
      </w:pPr>
      <w:r>
        <w:rPr>
          <w:rFonts w:eastAsia="標楷體" w:hint="eastAsia"/>
        </w:rPr>
        <w:t>恢復非公屋非綜援住戶生活津貼（俗稱</w:t>
      </w:r>
      <w:r>
        <w:rPr>
          <w:rFonts w:eastAsia="標楷體"/>
        </w:rPr>
        <w:t>N</w:t>
      </w:r>
      <w:r>
        <w:rPr>
          <w:rFonts w:eastAsia="標楷體" w:hint="eastAsia"/>
        </w:rPr>
        <w:t>無津貼），減輕租住私樓的基層住戶的負擔。此外，亦應檢討</w:t>
      </w:r>
      <w:r>
        <w:rPr>
          <w:rFonts w:eastAsia="標楷體" w:hint="eastAsia"/>
          <w:lang w:eastAsia="zh-HK"/>
        </w:rPr>
        <w:t>綜援</w:t>
      </w:r>
      <w:r>
        <w:rPr>
          <w:rFonts w:eastAsia="標楷體" w:hint="eastAsia"/>
        </w:rPr>
        <w:t>的租金援助措施，包括重訂計算租津的機制，及設立成人的搬遷及按金津貼。</w:t>
      </w:r>
      <w:r>
        <w:rPr>
          <w:rFonts w:eastAsia="標楷體"/>
        </w:rPr>
        <w:t xml:space="preserve"> </w:t>
      </w:r>
    </w:p>
    <w:p w:rsidR="00785701" w:rsidRDefault="00785701" w:rsidP="00785701">
      <w:pPr>
        <w:rPr>
          <w:rFonts w:eastAsia="標楷體"/>
        </w:rPr>
      </w:pPr>
    </w:p>
    <w:p w:rsidR="00785701" w:rsidRDefault="00785701" w:rsidP="00785701">
      <w:pPr>
        <w:rPr>
          <w:rFonts w:eastAsia="標楷體"/>
          <w:u w:val="single"/>
        </w:rPr>
      </w:pPr>
      <w:r>
        <w:rPr>
          <w:rFonts w:eastAsia="標楷體" w:hAnsi="標楷體"/>
          <w:u w:val="single"/>
        </w:rPr>
        <w:t>優化短期食物援助計劃及制訂鼓勵食物回收措施</w:t>
      </w:r>
      <w:r>
        <w:rPr>
          <w:rFonts w:eastAsia="標楷體"/>
          <w:u w:val="single"/>
        </w:rPr>
        <w:t xml:space="preserve"> </w:t>
      </w:r>
    </w:p>
    <w:p w:rsidR="00785701" w:rsidRDefault="00785701" w:rsidP="00785701">
      <w:pPr>
        <w:numPr>
          <w:ilvl w:val="0"/>
          <w:numId w:val="1"/>
        </w:numPr>
        <w:rPr>
          <w:rFonts w:eastAsia="標楷體" w:hAnsi="Calibri"/>
        </w:rPr>
      </w:pPr>
      <w:r>
        <w:rPr>
          <w:rFonts w:eastAsia="標楷體" w:hAnsi="標楷體"/>
        </w:rPr>
        <w:t>把食物援助服務納入恆常的資助項目，以確立短期食物援助服務在現時社會保障系統中所擔當的獨特功能。</w:t>
      </w:r>
    </w:p>
    <w:p w:rsidR="00785701" w:rsidRDefault="0077555E" w:rsidP="00785701">
      <w:pPr>
        <w:numPr>
          <w:ilvl w:val="0"/>
          <w:numId w:val="1"/>
        </w:numPr>
        <w:rPr>
          <w:rFonts w:eastAsia="標楷體"/>
        </w:rPr>
      </w:pPr>
      <w:r>
        <w:rPr>
          <w:rFonts w:eastAsia="標楷體" w:hAnsi="標楷體"/>
          <w:noProof/>
        </w:rPr>
        <w:drawing>
          <wp:anchor distT="0" distB="0" distL="114300" distR="114300" simplePos="0" relativeHeight="251670528" behindDoc="0" locked="0" layoutInCell="1" allowOverlap="1">
            <wp:simplePos x="0" y="0"/>
            <wp:positionH relativeFrom="column">
              <wp:posOffset>-1085850</wp:posOffset>
            </wp:positionH>
            <wp:positionV relativeFrom="page">
              <wp:posOffset>9748520</wp:posOffset>
            </wp:positionV>
            <wp:extent cx="7524750" cy="942975"/>
            <wp:effectExtent l="19050" t="0" r="0" b="0"/>
            <wp:wrapNone/>
            <wp:docPr id="1"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pic:cNvPicPr>
                      <a:picLocks noChangeAspect="1" noChangeArrowheads="1"/>
                    </pic:cNvPicPr>
                  </pic:nvPicPr>
                  <pic:blipFill>
                    <a:blip r:embed="rId9" cstate="print"/>
                    <a:srcRect t="18462" b="13333"/>
                    <a:stretch>
                      <a:fillRect/>
                    </a:stretch>
                  </pic:blipFill>
                  <pic:spPr bwMode="auto">
                    <a:xfrm>
                      <a:off x="0" y="0"/>
                      <a:ext cx="7524750" cy="942975"/>
                    </a:xfrm>
                    <a:prstGeom prst="rect">
                      <a:avLst/>
                    </a:prstGeom>
                    <a:noFill/>
                    <a:ln w="9525">
                      <a:noFill/>
                      <a:miter lim="800000"/>
                      <a:headEnd/>
                      <a:tailEnd/>
                    </a:ln>
                  </pic:spPr>
                </pic:pic>
              </a:graphicData>
            </a:graphic>
          </wp:anchor>
        </w:drawing>
      </w:r>
      <w:r w:rsidR="00785701">
        <w:rPr>
          <w:rFonts w:eastAsia="標楷體" w:hAnsi="標楷體"/>
        </w:rPr>
        <w:t>此外，本港每日丟棄不少食物，而現在有不少民間團體透過食物回收計劃，把這些食物捐贈有需要人士。為此，政府應立法鼓勵食物回收與捐贈，包括在每區設立食物回收隊伍，及</w:t>
      </w:r>
      <w:r w:rsidR="00785701">
        <w:rPr>
          <w:rFonts w:eastAsia="標楷體" w:hAnsi="標楷體" w:hint="eastAsia"/>
          <w:lang w:eastAsia="zh-HK"/>
        </w:rPr>
        <w:t>為</w:t>
      </w:r>
      <w:r w:rsidR="00785701">
        <w:rPr>
          <w:rFonts w:eastAsia="標楷體" w:hAnsi="標楷體"/>
        </w:rPr>
        <w:t>回收和轉贈食物的團體提供更多資助和營運或儲藏的空間。訂立保障捐獻者的「好撒瑪利亞人法」，使捐贈食物的商戶以及回收食物的團體，可在符合一定處理食物的條件下，免去因受助者進食</w:t>
      </w:r>
      <w:r w:rsidR="00785701">
        <w:rPr>
          <w:rFonts w:eastAsia="標楷體" w:hAnsi="標楷體"/>
        </w:rPr>
        <w:lastRenderedPageBreak/>
        <w:t>了有問題的食品健康受損而衍生的刑責。</w:t>
      </w:r>
    </w:p>
    <w:p w:rsidR="00785701" w:rsidRDefault="00785701" w:rsidP="00785701">
      <w:pPr>
        <w:rPr>
          <w:rFonts w:eastAsia="標楷體"/>
        </w:rPr>
      </w:pPr>
    </w:p>
    <w:p w:rsidR="00785701" w:rsidRDefault="00785701" w:rsidP="00785701">
      <w:pPr>
        <w:rPr>
          <w:rFonts w:eastAsia="標楷體"/>
        </w:rPr>
      </w:pPr>
      <w:r>
        <w:rPr>
          <w:rFonts w:eastAsia="標楷體" w:hint="eastAsia"/>
        </w:rPr>
        <w:t>*</w:t>
      </w:r>
      <w:r>
        <w:rPr>
          <w:rFonts w:eastAsia="標楷體" w:hint="eastAsia"/>
        </w:rPr>
        <w:t>社聯建議的低收入在職家庭津貼入息上限及給予租住私樓家庭的金額如下</w:t>
      </w:r>
      <w:r>
        <w:rPr>
          <w:rFonts w:eastAsia="標楷體" w:hint="eastAsia"/>
        </w:rPr>
        <w:t>:</w:t>
      </w:r>
    </w:p>
    <w:p w:rsidR="00785701" w:rsidRDefault="00785701" w:rsidP="00785701">
      <w:pPr>
        <w:rPr>
          <w:rFonts w:eastAsia="標楷體"/>
        </w:rPr>
      </w:pPr>
      <w:r>
        <w:rPr>
          <w:rFonts w:eastAsia="標楷體" w:hint="eastAsia"/>
        </w:rPr>
        <w:t>入息上限</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9"/>
        <w:gridCol w:w="2693"/>
        <w:gridCol w:w="2693"/>
      </w:tblGrid>
      <w:tr w:rsidR="00785701" w:rsidTr="00424CEF">
        <w:trPr>
          <w:trHeight w:val="420"/>
        </w:trPr>
        <w:tc>
          <w:tcPr>
            <w:tcW w:w="8505" w:type="dxa"/>
            <w:gridSpan w:val="3"/>
            <w:vAlign w:val="center"/>
          </w:tcPr>
          <w:p w:rsidR="00785701" w:rsidRDefault="00785701" w:rsidP="00424CEF">
            <w:pPr>
              <w:rPr>
                <w:rFonts w:eastAsia="標楷體"/>
              </w:rPr>
            </w:pPr>
            <w:r>
              <w:rPr>
                <w:rFonts w:eastAsia="標楷體" w:hint="eastAsia"/>
              </w:rPr>
              <w:t>現有制度</w:t>
            </w:r>
          </w:p>
        </w:tc>
      </w:tr>
      <w:tr w:rsidR="00785701" w:rsidTr="00424CEF">
        <w:trPr>
          <w:trHeight w:val="420"/>
        </w:trPr>
        <w:tc>
          <w:tcPr>
            <w:tcW w:w="3119" w:type="dxa"/>
            <w:vAlign w:val="center"/>
          </w:tcPr>
          <w:p w:rsidR="00785701" w:rsidRDefault="00785701" w:rsidP="00424CEF">
            <w:pPr>
              <w:rPr>
                <w:rFonts w:eastAsia="標楷體"/>
              </w:rPr>
            </w:pPr>
          </w:p>
        </w:tc>
        <w:tc>
          <w:tcPr>
            <w:tcW w:w="2693" w:type="dxa"/>
          </w:tcPr>
          <w:p w:rsidR="00785701" w:rsidRDefault="00785701" w:rsidP="00424CEF">
            <w:pPr>
              <w:rPr>
                <w:rFonts w:eastAsia="標楷體"/>
              </w:rPr>
            </w:pPr>
            <w:r>
              <w:rPr>
                <w:rFonts w:eastAsia="標楷體" w:hint="eastAsia"/>
              </w:rPr>
              <w:t>全額津貼</w:t>
            </w:r>
          </w:p>
        </w:tc>
        <w:tc>
          <w:tcPr>
            <w:tcW w:w="2693" w:type="dxa"/>
          </w:tcPr>
          <w:p w:rsidR="00785701" w:rsidRDefault="00785701" w:rsidP="00424CEF">
            <w:pPr>
              <w:rPr>
                <w:rFonts w:eastAsia="標楷體"/>
              </w:rPr>
            </w:pPr>
            <w:r>
              <w:rPr>
                <w:rFonts w:eastAsia="標楷體" w:hint="eastAsia"/>
              </w:rPr>
              <w:t>半額津貼</w:t>
            </w:r>
          </w:p>
        </w:tc>
      </w:tr>
      <w:tr w:rsidR="00785701" w:rsidTr="00424CEF">
        <w:trPr>
          <w:trHeight w:val="420"/>
        </w:trPr>
        <w:tc>
          <w:tcPr>
            <w:tcW w:w="3119" w:type="dxa"/>
            <w:vAlign w:val="center"/>
          </w:tcPr>
          <w:p w:rsidR="00785701" w:rsidRDefault="00785701" w:rsidP="00424CEF">
            <w:pPr>
              <w:rPr>
                <w:rFonts w:eastAsia="標楷體"/>
              </w:rPr>
            </w:pPr>
            <w:r>
              <w:rPr>
                <w:rFonts w:eastAsia="標楷體" w:hint="eastAsia"/>
              </w:rPr>
              <w:t>所有住戶</w:t>
            </w:r>
          </w:p>
        </w:tc>
        <w:tc>
          <w:tcPr>
            <w:tcW w:w="2693" w:type="dxa"/>
          </w:tcPr>
          <w:p w:rsidR="00785701" w:rsidRDefault="00785701" w:rsidP="00424CEF">
            <w:pPr>
              <w:rPr>
                <w:rFonts w:eastAsia="標楷體"/>
              </w:rPr>
            </w:pPr>
            <w:r>
              <w:rPr>
                <w:rFonts w:ascii="Calibri" w:eastAsia="標楷體" w:hAnsi="Calibri" w:hint="eastAsia"/>
              </w:rPr>
              <w:t>≦入息中位數</w:t>
            </w:r>
            <w:r>
              <w:rPr>
                <w:rFonts w:ascii="Calibri" w:eastAsia="標楷體" w:hAnsi="Calibri" w:hint="eastAsia"/>
              </w:rPr>
              <w:t>50%</w:t>
            </w:r>
          </w:p>
        </w:tc>
        <w:tc>
          <w:tcPr>
            <w:tcW w:w="2693" w:type="dxa"/>
          </w:tcPr>
          <w:p w:rsidR="00785701" w:rsidRDefault="00785701" w:rsidP="00424CEF">
            <w:pPr>
              <w:rPr>
                <w:rFonts w:eastAsia="標楷體"/>
              </w:rPr>
            </w:pPr>
            <w:r>
              <w:rPr>
                <w:rFonts w:ascii="Calibri" w:eastAsia="標楷體" w:hAnsi="Calibri" w:hint="eastAsia"/>
              </w:rPr>
              <w:t>&gt;50%-</w:t>
            </w:r>
            <w:r>
              <w:rPr>
                <w:rFonts w:ascii="Calibri" w:eastAsia="標楷體" w:hAnsi="Calibri" w:hint="eastAsia"/>
              </w:rPr>
              <w:t>≦</w:t>
            </w:r>
            <w:r>
              <w:rPr>
                <w:rFonts w:ascii="Calibri" w:eastAsia="標楷體" w:hAnsi="Calibri" w:hint="eastAsia"/>
              </w:rPr>
              <w:t>60%</w:t>
            </w:r>
            <w:r>
              <w:rPr>
                <w:rFonts w:ascii="Calibri" w:eastAsia="標楷體" w:hAnsi="Calibri" w:hint="eastAsia"/>
              </w:rPr>
              <w:t>入息中位數</w:t>
            </w:r>
          </w:p>
        </w:tc>
      </w:tr>
      <w:tr w:rsidR="00785701" w:rsidTr="00424CEF">
        <w:trPr>
          <w:trHeight w:val="420"/>
        </w:trPr>
        <w:tc>
          <w:tcPr>
            <w:tcW w:w="8505" w:type="dxa"/>
            <w:gridSpan w:val="3"/>
            <w:vAlign w:val="center"/>
          </w:tcPr>
          <w:p w:rsidR="00785701" w:rsidRDefault="00785701" w:rsidP="00424CEF">
            <w:pPr>
              <w:rPr>
                <w:rFonts w:eastAsia="標楷體"/>
              </w:rPr>
            </w:pPr>
            <w:r>
              <w:rPr>
                <w:rFonts w:eastAsia="標楷體" w:hint="eastAsia"/>
              </w:rPr>
              <w:t>建議方案</w:t>
            </w:r>
          </w:p>
        </w:tc>
      </w:tr>
      <w:tr w:rsidR="00785701" w:rsidTr="00424CEF">
        <w:trPr>
          <w:trHeight w:val="420"/>
        </w:trPr>
        <w:tc>
          <w:tcPr>
            <w:tcW w:w="3119" w:type="dxa"/>
            <w:vAlign w:val="center"/>
          </w:tcPr>
          <w:p w:rsidR="00785701" w:rsidRDefault="00785701" w:rsidP="00424CEF">
            <w:pPr>
              <w:rPr>
                <w:rFonts w:eastAsia="標楷體"/>
              </w:rPr>
            </w:pPr>
          </w:p>
        </w:tc>
        <w:tc>
          <w:tcPr>
            <w:tcW w:w="2693" w:type="dxa"/>
          </w:tcPr>
          <w:p w:rsidR="00785701" w:rsidRDefault="00785701" w:rsidP="00424CEF">
            <w:pPr>
              <w:rPr>
                <w:rFonts w:eastAsia="標楷體"/>
              </w:rPr>
            </w:pPr>
            <w:r>
              <w:rPr>
                <w:rFonts w:eastAsia="標楷體" w:hint="eastAsia"/>
              </w:rPr>
              <w:t>全額津貼</w:t>
            </w:r>
          </w:p>
        </w:tc>
        <w:tc>
          <w:tcPr>
            <w:tcW w:w="2693" w:type="dxa"/>
          </w:tcPr>
          <w:p w:rsidR="00785701" w:rsidRDefault="00785701" w:rsidP="00424CEF">
            <w:pPr>
              <w:rPr>
                <w:rFonts w:eastAsia="標楷體"/>
              </w:rPr>
            </w:pPr>
            <w:r>
              <w:rPr>
                <w:rFonts w:eastAsia="標楷體" w:hint="eastAsia"/>
              </w:rPr>
              <w:t>半額津貼</w:t>
            </w:r>
          </w:p>
        </w:tc>
      </w:tr>
      <w:tr w:rsidR="00785701" w:rsidTr="00424CEF">
        <w:tc>
          <w:tcPr>
            <w:tcW w:w="3119" w:type="dxa"/>
          </w:tcPr>
          <w:p w:rsidR="00785701" w:rsidRDefault="00785701" w:rsidP="00424CEF">
            <w:pPr>
              <w:rPr>
                <w:rFonts w:eastAsia="標楷體"/>
              </w:rPr>
            </w:pPr>
            <w:r>
              <w:rPr>
                <w:rFonts w:eastAsia="標楷體" w:hint="eastAsia"/>
              </w:rPr>
              <w:t>非租住私樓人士</w:t>
            </w:r>
          </w:p>
        </w:tc>
        <w:tc>
          <w:tcPr>
            <w:tcW w:w="2693" w:type="dxa"/>
          </w:tcPr>
          <w:p w:rsidR="00785701" w:rsidRDefault="00785701" w:rsidP="00424CEF">
            <w:pPr>
              <w:rPr>
                <w:rFonts w:eastAsia="標楷體"/>
              </w:rPr>
            </w:pPr>
            <w:r>
              <w:rPr>
                <w:rFonts w:ascii="Calibri" w:eastAsia="標楷體" w:hAnsi="Calibri" w:hint="eastAsia"/>
              </w:rPr>
              <w:t>≦入息中位數</w:t>
            </w:r>
            <w:r>
              <w:rPr>
                <w:rFonts w:ascii="Calibri" w:eastAsia="標楷體" w:hAnsi="Calibri" w:hint="eastAsia"/>
              </w:rPr>
              <w:t>50%</w:t>
            </w:r>
          </w:p>
        </w:tc>
        <w:tc>
          <w:tcPr>
            <w:tcW w:w="2693" w:type="dxa"/>
          </w:tcPr>
          <w:p w:rsidR="00785701" w:rsidRDefault="00785701" w:rsidP="00424CEF">
            <w:pPr>
              <w:rPr>
                <w:rFonts w:ascii="Calibri" w:eastAsia="標楷體" w:hAnsi="Calibri"/>
              </w:rPr>
            </w:pPr>
            <w:r>
              <w:rPr>
                <w:rFonts w:ascii="Calibri" w:eastAsia="標楷體" w:hAnsi="Calibri" w:hint="eastAsia"/>
              </w:rPr>
              <w:t>&gt;50%-</w:t>
            </w:r>
            <w:r>
              <w:rPr>
                <w:rFonts w:ascii="Calibri" w:eastAsia="標楷體" w:hAnsi="Calibri" w:hint="eastAsia"/>
              </w:rPr>
              <w:t>≦</w:t>
            </w:r>
            <w:r>
              <w:rPr>
                <w:rFonts w:ascii="Calibri" w:eastAsia="標楷體" w:hAnsi="Calibri" w:hint="eastAsia"/>
              </w:rPr>
              <w:t>70%</w:t>
            </w:r>
            <w:r>
              <w:rPr>
                <w:rFonts w:ascii="Calibri" w:eastAsia="標楷體" w:hAnsi="Calibri" w:hint="eastAsia"/>
              </w:rPr>
              <w:t>入息中位數</w:t>
            </w:r>
          </w:p>
        </w:tc>
      </w:tr>
      <w:tr w:rsidR="00785701" w:rsidTr="00424CEF">
        <w:tc>
          <w:tcPr>
            <w:tcW w:w="3119" w:type="dxa"/>
          </w:tcPr>
          <w:p w:rsidR="00785701" w:rsidRDefault="00785701" w:rsidP="00424CEF">
            <w:pPr>
              <w:rPr>
                <w:rFonts w:eastAsia="標楷體"/>
              </w:rPr>
            </w:pPr>
            <w:r>
              <w:rPr>
                <w:rFonts w:eastAsia="標楷體" w:hint="eastAsia"/>
              </w:rPr>
              <w:t>租住私樓人士</w:t>
            </w:r>
          </w:p>
        </w:tc>
        <w:tc>
          <w:tcPr>
            <w:tcW w:w="2693" w:type="dxa"/>
          </w:tcPr>
          <w:p w:rsidR="00785701" w:rsidRDefault="00785701" w:rsidP="00424CEF">
            <w:pPr>
              <w:rPr>
                <w:rFonts w:eastAsia="標楷體"/>
              </w:rPr>
            </w:pPr>
            <w:r>
              <w:rPr>
                <w:rFonts w:ascii="Calibri" w:eastAsia="標楷體" w:hAnsi="Calibri" w:hint="eastAsia"/>
              </w:rPr>
              <w:t>≦入息中位數</w:t>
            </w:r>
            <w:r>
              <w:rPr>
                <w:rFonts w:ascii="Calibri" w:eastAsia="標楷體" w:hAnsi="Calibri" w:hint="eastAsia"/>
              </w:rPr>
              <w:t>60%</w:t>
            </w:r>
          </w:p>
        </w:tc>
        <w:tc>
          <w:tcPr>
            <w:tcW w:w="2693" w:type="dxa"/>
          </w:tcPr>
          <w:p w:rsidR="00785701" w:rsidRDefault="00785701" w:rsidP="00424CEF">
            <w:pPr>
              <w:rPr>
                <w:rFonts w:ascii="Calibri" w:eastAsia="標楷體" w:hAnsi="Calibri"/>
              </w:rPr>
            </w:pPr>
            <w:r>
              <w:rPr>
                <w:rFonts w:ascii="Calibri" w:eastAsia="標楷體" w:hAnsi="Calibri" w:hint="eastAsia"/>
              </w:rPr>
              <w:t>&gt;60%-</w:t>
            </w:r>
            <w:r>
              <w:rPr>
                <w:rFonts w:ascii="Calibri" w:eastAsia="標楷體" w:hAnsi="Calibri" w:hint="eastAsia"/>
              </w:rPr>
              <w:t>≦</w:t>
            </w:r>
            <w:r>
              <w:rPr>
                <w:rFonts w:ascii="Calibri" w:eastAsia="標楷體" w:hAnsi="Calibri" w:hint="eastAsia"/>
              </w:rPr>
              <w:t>80%</w:t>
            </w:r>
            <w:r>
              <w:rPr>
                <w:rFonts w:ascii="Calibri" w:eastAsia="標楷體" w:hAnsi="Calibri" w:hint="eastAsia"/>
              </w:rPr>
              <w:t>入息中位數</w:t>
            </w:r>
          </w:p>
        </w:tc>
      </w:tr>
    </w:tbl>
    <w:p w:rsidR="00785701" w:rsidRDefault="00785701" w:rsidP="00785701">
      <w:pPr>
        <w:jc w:val="both"/>
      </w:pPr>
    </w:p>
    <w:p w:rsidR="00785701" w:rsidRDefault="00785701" w:rsidP="00785701">
      <w:pPr>
        <w:rPr>
          <w:rFonts w:eastAsia="標楷體"/>
        </w:rPr>
      </w:pPr>
      <w:r>
        <w:rPr>
          <w:rFonts w:eastAsia="標楷體" w:hint="eastAsia"/>
        </w:rPr>
        <w:t>給予租住私樓住戶的生活津貼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2268"/>
        <w:gridCol w:w="2126"/>
      </w:tblGrid>
      <w:tr w:rsidR="00785701" w:rsidRPr="00812535" w:rsidTr="00424CEF">
        <w:tc>
          <w:tcPr>
            <w:tcW w:w="2518" w:type="dxa"/>
          </w:tcPr>
          <w:p w:rsidR="00785701" w:rsidRPr="00812535" w:rsidRDefault="00785701" w:rsidP="00424CEF">
            <w:pPr>
              <w:rPr>
                <w:rFonts w:eastAsia="標楷體"/>
              </w:rPr>
            </w:pPr>
          </w:p>
        </w:tc>
        <w:tc>
          <w:tcPr>
            <w:tcW w:w="2268" w:type="dxa"/>
          </w:tcPr>
          <w:p w:rsidR="00785701" w:rsidRPr="00812535" w:rsidRDefault="00785701" w:rsidP="00424CEF">
            <w:pPr>
              <w:rPr>
                <w:rFonts w:eastAsia="標楷體"/>
                <w:lang w:eastAsia="zh-HK"/>
              </w:rPr>
            </w:pPr>
            <w:r w:rsidRPr="00812535">
              <w:rPr>
                <w:rFonts w:eastAsia="標楷體" w:hint="eastAsia"/>
              </w:rPr>
              <w:t>全額津貼</w:t>
            </w:r>
            <w:r w:rsidR="003D1994">
              <w:rPr>
                <w:rFonts w:eastAsia="標楷體" w:hint="eastAsia"/>
                <w:lang w:eastAsia="zh-HK"/>
              </w:rPr>
              <w:t xml:space="preserve"> ($)</w:t>
            </w:r>
          </w:p>
        </w:tc>
        <w:tc>
          <w:tcPr>
            <w:tcW w:w="2126" w:type="dxa"/>
          </w:tcPr>
          <w:p w:rsidR="00785701" w:rsidRPr="00812535" w:rsidRDefault="00785701" w:rsidP="00424CEF">
            <w:pPr>
              <w:rPr>
                <w:rFonts w:eastAsia="標楷體"/>
                <w:lang w:eastAsia="zh-HK"/>
              </w:rPr>
            </w:pPr>
            <w:r w:rsidRPr="00812535">
              <w:rPr>
                <w:rFonts w:eastAsia="標楷體" w:hint="eastAsia"/>
              </w:rPr>
              <w:t>半額津貼</w:t>
            </w:r>
            <w:r w:rsidR="003D1994">
              <w:rPr>
                <w:rFonts w:eastAsia="標楷體" w:hint="eastAsia"/>
                <w:lang w:eastAsia="zh-HK"/>
              </w:rPr>
              <w:t xml:space="preserve"> ($)</w:t>
            </w:r>
          </w:p>
        </w:tc>
      </w:tr>
      <w:tr w:rsidR="00785701" w:rsidRPr="00812535" w:rsidTr="00424CEF">
        <w:tc>
          <w:tcPr>
            <w:tcW w:w="2518" w:type="dxa"/>
          </w:tcPr>
          <w:p w:rsidR="00785701" w:rsidRPr="00812535" w:rsidRDefault="00785701" w:rsidP="00424CEF">
            <w:pPr>
              <w:rPr>
                <w:rFonts w:eastAsia="標楷體"/>
              </w:rPr>
            </w:pPr>
            <w:r w:rsidRPr="00812535">
              <w:rPr>
                <w:rFonts w:eastAsia="標楷體" w:hint="eastAsia"/>
              </w:rPr>
              <w:t>2</w:t>
            </w:r>
            <w:r w:rsidRPr="00812535">
              <w:rPr>
                <w:rFonts w:eastAsia="標楷體" w:hint="eastAsia"/>
              </w:rPr>
              <w:t>人</w:t>
            </w:r>
          </w:p>
        </w:tc>
        <w:tc>
          <w:tcPr>
            <w:tcW w:w="2268" w:type="dxa"/>
          </w:tcPr>
          <w:p w:rsidR="00785701" w:rsidRPr="00812535" w:rsidRDefault="00785701" w:rsidP="00424CEF">
            <w:pPr>
              <w:rPr>
                <w:rFonts w:eastAsia="標楷體"/>
              </w:rPr>
            </w:pPr>
            <w:r w:rsidRPr="00812535">
              <w:rPr>
                <w:rFonts w:eastAsia="標楷體" w:hint="eastAsia"/>
              </w:rPr>
              <w:t>680</w:t>
            </w:r>
          </w:p>
        </w:tc>
        <w:tc>
          <w:tcPr>
            <w:tcW w:w="2126" w:type="dxa"/>
          </w:tcPr>
          <w:p w:rsidR="00785701" w:rsidRPr="00812535" w:rsidRDefault="00785701" w:rsidP="00424CEF">
            <w:pPr>
              <w:rPr>
                <w:rFonts w:eastAsia="標楷體"/>
              </w:rPr>
            </w:pPr>
            <w:r w:rsidRPr="00812535">
              <w:rPr>
                <w:rFonts w:eastAsia="標楷體" w:hint="eastAsia"/>
              </w:rPr>
              <w:t>340</w:t>
            </w:r>
          </w:p>
        </w:tc>
      </w:tr>
      <w:tr w:rsidR="00785701" w:rsidRPr="00812535" w:rsidTr="00424CEF">
        <w:tc>
          <w:tcPr>
            <w:tcW w:w="2518" w:type="dxa"/>
          </w:tcPr>
          <w:p w:rsidR="00785701" w:rsidRPr="00812535" w:rsidRDefault="00785701" w:rsidP="00424CEF">
            <w:pPr>
              <w:rPr>
                <w:rFonts w:eastAsia="標楷體"/>
              </w:rPr>
            </w:pPr>
            <w:r w:rsidRPr="00812535">
              <w:rPr>
                <w:rFonts w:eastAsia="標楷體" w:hint="eastAsia"/>
              </w:rPr>
              <w:t>3</w:t>
            </w:r>
            <w:r w:rsidRPr="00812535">
              <w:rPr>
                <w:rFonts w:eastAsia="標楷體" w:hint="eastAsia"/>
              </w:rPr>
              <w:t>人</w:t>
            </w:r>
          </w:p>
        </w:tc>
        <w:tc>
          <w:tcPr>
            <w:tcW w:w="2268" w:type="dxa"/>
          </w:tcPr>
          <w:p w:rsidR="00785701" w:rsidRPr="00812535" w:rsidRDefault="00785701" w:rsidP="00424CEF">
            <w:pPr>
              <w:rPr>
                <w:rFonts w:eastAsia="標楷體"/>
              </w:rPr>
            </w:pPr>
            <w:r w:rsidRPr="00812535">
              <w:rPr>
                <w:rFonts w:eastAsia="標楷體" w:hint="eastAsia"/>
              </w:rPr>
              <w:t>935</w:t>
            </w:r>
          </w:p>
        </w:tc>
        <w:tc>
          <w:tcPr>
            <w:tcW w:w="2126" w:type="dxa"/>
          </w:tcPr>
          <w:p w:rsidR="00785701" w:rsidRPr="00812535" w:rsidRDefault="00785701" w:rsidP="00424CEF">
            <w:pPr>
              <w:rPr>
                <w:rFonts w:eastAsia="標楷體"/>
              </w:rPr>
            </w:pPr>
            <w:r w:rsidRPr="00812535">
              <w:rPr>
                <w:rFonts w:eastAsia="標楷體" w:hint="eastAsia"/>
              </w:rPr>
              <w:t>468</w:t>
            </w:r>
          </w:p>
        </w:tc>
      </w:tr>
      <w:tr w:rsidR="00785701" w:rsidRPr="00812535" w:rsidTr="00424CEF">
        <w:tc>
          <w:tcPr>
            <w:tcW w:w="2518" w:type="dxa"/>
          </w:tcPr>
          <w:p w:rsidR="00785701" w:rsidRPr="00812535" w:rsidRDefault="00785701" w:rsidP="00424CEF">
            <w:pPr>
              <w:rPr>
                <w:rFonts w:eastAsia="標楷體"/>
              </w:rPr>
            </w:pPr>
            <w:r w:rsidRPr="00812535">
              <w:rPr>
                <w:rFonts w:eastAsia="標楷體" w:hint="eastAsia"/>
              </w:rPr>
              <w:t>4</w:t>
            </w:r>
            <w:r w:rsidRPr="00812535">
              <w:rPr>
                <w:rFonts w:eastAsia="標楷體" w:hint="eastAsia"/>
              </w:rPr>
              <w:t>人</w:t>
            </w:r>
          </w:p>
        </w:tc>
        <w:tc>
          <w:tcPr>
            <w:tcW w:w="2268" w:type="dxa"/>
          </w:tcPr>
          <w:p w:rsidR="00785701" w:rsidRPr="00812535" w:rsidRDefault="00785701" w:rsidP="00424CEF">
            <w:pPr>
              <w:rPr>
                <w:rFonts w:eastAsia="標楷體"/>
              </w:rPr>
            </w:pPr>
            <w:r w:rsidRPr="00812535">
              <w:rPr>
                <w:rFonts w:eastAsia="標楷體" w:hint="eastAsia"/>
              </w:rPr>
              <w:t>1,105</w:t>
            </w:r>
          </w:p>
        </w:tc>
        <w:tc>
          <w:tcPr>
            <w:tcW w:w="2126" w:type="dxa"/>
          </w:tcPr>
          <w:p w:rsidR="00785701" w:rsidRPr="00812535" w:rsidRDefault="00785701" w:rsidP="00424CEF">
            <w:pPr>
              <w:rPr>
                <w:rFonts w:eastAsia="標楷體"/>
              </w:rPr>
            </w:pPr>
            <w:r w:rsidRPr="00812535">
              <w:rPr>
                <w:rFonts w:eastAsia="標楷體" w:hint="eastAsia"/>
              </w:rPr>
              <w:t>553</w:t>
            </w:r>
          </w:p>
        </w:tc>
      </w:tr>
      <w:tr w:rsidR="00785701" w:rsidRPr="00812535" w:rsidTr="00424CEF">
        <w:tc>
          <w:tcPr>
            <w:tcW w:w="2518" w:type="dxa"/>
          </w:tcPr>
          <w:p w:rsidR="00785701" w:rsidRPr="00812535" w:rsidRDefault="00785701" w:rsidP="00424CEF">
            <w:pPr>
              <w:rPr>
                <w:rFonts w:eastAsia="標楷體"/>
              </w:rPr>
            </w:pPr>
            <w:r w:rsidRPr="00812535">
              <w:rPr>
                <w:rFonts w:eastAsia="標楷體" w:hint="eastAsia"/>
              </w:rPr>
              <w:t>5</w:t>
            </w:r>
            <w:r w:rsidRPr="00812535">
              <w:rPr>
                <w:rFonts w:eastAsia="標楷體" w:hint="eastAsia"/>
              </w:rPr>
              <w:t>人或以上</w:t>
            </w:r>
          </w:p>
        </w:tc>
        <w:tc>
          <w:tcPr>
            <w:tcW w:w="2268" w:type="dxa"/>
          </w:tcPr>
          <w:p w:rsidR="00785701" w:rsidRPr="00812535" w:rsidRDefault="00785701" w:rsidP="00424CEF">
            <w:pPr>
              <w:rPr>
                <w:rFonts w:eastAsia="標楷體"/>
              </w:rPr>
            </w:pPr>
            <w:r w:rsidRPr="00812535">
              <w:rPr>
                <w:rFonts w:eastAsia="標楷體" w:hint="eastAsia"/>
              </w:rPr>
              <w:t>1,190</w:t>
            </w:r>
          </w:p>
        </w:tc>
        <w:tc>
          <w:tcPr>
            <w:tcW w:w="2126" w:type="dxa"/>
          </w:tcPr>
          <w:p w:rsidR="00785701" w:rsidRPr="00812535" w:rsidRDefault="00785701" w:rsidP="00424CEF">
            <w:pPr>
              <w:rPr>
                <w:rFonts w:eastAsia="標楷體"/>
              </w:rPr>
            </w:pPr>
            <w:r w:rsidRPr="00812535">
              <w:rPr>
                <w:rFonts w:eastAsia="標楷體" w:hint="eastAsia"/>
              </w:rPr>
              <w:t>595</w:t>
            </w:r>
          </w:p>
        </w:tc>
      </w:tr>
    </w:tbl>
    <w:p w:rsidR="00785701" w:rsidRDefault="00785701" w:rsidP="00785701">
      <w:pPr>
        <w:rPr>
          <w:rFonts w:eastAsia="標楷體"/>
        </w:rPr>
      </w:pPr>
    </w:p>
    <w:p w:rsidR="00785701" w:rsidRDefault="00785701" w:rsidP="00785701">
      <w:pPr>
        <w:rPr>
          <w:rFonts w:eastAsia="標楷體"/>
        </w:rPr>
      </w:pPr>
    </w:p>
    <w:p w:rsidR="00785701" w:rsidRDefault="00785701" w:rsidP="00785701">
      <w:pPr>
        <w:rPr>
          <w:rFonts w:eastAsia="標楷體"/>
        </w:rPr>
      </w:pPr>
    </w:p>
    <w:p w:rsidR="00785701" w:rsidRDefault="00785701" w:rsidP="00785701">
      <w:pPr>
        <w:jc w:val="center"/>
        <w:rPr>
          <w:rFonts w:eastAsia="標楷體"/>
        </w:rPr>
      </w:pPr>
      <w:r>
        <w:rPr>
          <w:rFonts w:eastAsia="標楷體"/>
        </w:rPr>
        <w:t xml:space="preserve">- </w:t>
      </w:r>
      <w:r>
        <w:rPr>
          <w:rFonts w:eastAsia="標楷體" w:hAnsi="標楷體"/>
        </w:rPr>
        <w:t>完</w:t>
      </w:r>
      <w:r>
        <w:rPr>
          <w:rFonts w:eastAsia="標楷體"/>
        </w:rPr>
        <w:t xml:space="preserve"> -</w:t>
      </w:r>
    </w:p>
    <w:p w:rsidR="00785701" w:rsidRDefault="00785701" w:rsidP="00785701">
      <w:pPr>
        <w:rPr>
          <w:rFonts w:eastAsia="標楷體"/>
        </w:rPr>
      </w:pPr>
    </w:p>
    <w:p w:rsidR="00785701" w:rsidRDefault="00785701" w:rsidP="00785701">
      <w:pPr>
        <w:rPr>
          <w:rFonts w:eastAsia="標楷體"/>
        </w:rPr>
      </w:pPr>
    </w:p>
    <w:p w:rsidR="00785701" w:rsidRDefault="00785701" w:rsidP="00785701">
      <w:pPr>
        <w:rPr>
          <w:rFonts w:eastAsia="標楷體"/>
        </w:rPr>
      </w:pPr>
    </w:p>
    <w:p w:rsidR="00785701" w:rsidRDefault="00785701" w:rsidP="00785701">
      <w:pPr>
        <w:rPr>
          <w:rFonts w:eastAsia="標楷體"/>
        </w:rPr>
      </w:pPr>
    </w:p>
    <w:p w:rsidR="00785701" w:rsidRDefault="00785701" w:rsidP="00785701">
      <w:pPr>
        <w:snapToGrid w:val="0"/>
        <w:spacing w:line="0" w:lineRule="atLeast"/>
        <w:jc w:val="both"/>
        <w:rPr>
          <w:rFonts w:eastAsia="標楷體" w:cs="Calibri"/>
          <w:szCs w:val="24"/>
        </w:rPr>
      </w:pPr>
    </w:p>
    <w:p w:rsidR="00785701" w:rsidRDefault="00785701" w:rsidP="00785701">
      <w:pPr>
        <w:snapToGrid w:val="0"/>
        <w:spacing w:line="0" w:lineRule="atLeast"/>
        <w:jc w:val="both"/>
        <w:rPr>
          <w:rFonts w:eastAsia="標楷體" w:cs="Calibri"/>
          <w:szCs w:val="24"/>
        </w:rPr>
      </w:pPr>
    </w:p>
    <w:p w:rsidR="00785701" w:rsidRDefault="00785701" w:rsidP="00785701">
      <w:pPr>
        <w:snapToGrid w:val="0"/>
        <w:spacing w:line="0" w:lineRule="atLeast"/>
        <w:jc w:val="both"/>
        <w:rPr>
          <w:rFonts w:eastAsia="標楷體" w:cs="Calibri"/>
          <w:szCs w:val="24"/>
        </w:rPr>
      </w:pPr>
    </w:p>
    <w:p w:rsidR="00785701" w:rsidRDefault="00785701" w:rsidP="00785701">
      <w:pPr>
        <w:snapToGrid w:val="0"/>
        <w:spacing w:line="0" w:lineRule="atLeast"/>
        <w:jc w:val="both"/>
        <w:rPr>
          <w:rFonts w:eastAsia="標楷體" w:cs="Calibri"/>
          <w:szCs w:val="24"/>
          <w:u w:val="single"/>
        </w:rPr>
      </w:pPr>
      <w:r>
        <w:rPr>
          <w:rFonts w:eastAsia="標楷體" w:hAnsi="標楷體" w:cs="Calibri"/>
          <w:szCs w:val="24"/>
          <w:u w:val="single"/>
        </w:rPr>
        <w:t>查詢：</w:t>
      </w:r>
    </w:p>
    <w:p w:rsidR="00785701" w:rsidRDefault="00785701" w:rsidP="00785701">
      <w:pPr>
        <w:snapToGrid w:val="0"/>
        <w:spacing w:line="0" w:lineRule="atLeast"/>
        <w:jc w:val="both"/>
        <w:rPr>
          <w:rFonts w:eastAsia="標楷體"/>
          <w:szCs w:val="24"/>
        </w:rPr>
      </w:pPr>
      <w:r>
        <w:rPr>
          <w:rFonts w:eastAsia="標楷體" w:hAnsi="標楷體"/>
          <w:szCs w:val="24"/>
        </w:rPr>
        <w:t>社聯高級經理（企業傳訊）曾志康先生</w:t>
      </w:r>
    </w:p>
    <w:p w:rsidR="00785701" w:rsidRDefault="00785701" w:rsidP="00785701">
      <w:pPr>
        <w:snapToGrid w:val="0"/>
        <w:spacing w:line="0" w:lineRule="atLeast"/>
        <w:jc w:val="both"/>
        <w:rPr>
          <w:rFonts w:eastAsia="標楷體" w:cs="Calibri"/>
          <w:szCs w:val="24"/>
        </w:rPr>
      </w:pPr>
      <w:r>
        <w:rPr>
          <w:rFonts w:eastAsia="標楷體" w:cs="Calibri"/>
          <w:szCs w:val="24"/>
        </w:rPr>
        <w:t>Tel</w:t>
      </w:r>
      <w:r>
        <w:rPr>
          <w:rFonts w:eastAsia="標楷體" w:hAnsi="標楷體" w:cs="Calibri"/>
          <w:szCs w:val="24"/>
        </w:rPr>
        <w:t>：</w:t>
      </w:r>
      <w:r>
        <w:rPr>
          <w:rFonts w:eastAsia="標楷體" w:cs="Calibri"/>
          <w:szCs w:val="24"/>
        </w:rPr>
        <w:t>2864 2982</w:t>
      </w:r>
    </w:p>
    <w:p w:rsidR="00785701" w:rsidRDefault="00785701" w:rsidP="00785701">
      <w:pPr>
        <w:snapToGrid w:val="0"/>
        <w:spacing w:line="0" w:lineRule="atLeast"/>
        <w:jc w:val="both"/>
        <w:rPr>
          <w:rFonts w:eastAsia="標楷體" w:cs="Calibri"/>
          <w:szCs w:val="24"/>
        </w:rPr>
      </w:pPr>
      <w:r>
        <w:rPr>
          <w:rFonts w:eastAsia="標楷體" w:cs="Calibri"/>
          <w:szCs w:val="24"/>
        </w:rPr>
        <w:t>Email</w:t>
      </w:r>
      <w:r>
        <w:rPr>
          <w:rFonts w:eastAsia="標楷體" w:hAnsi="標楷體" w:cs="Calibri"/>
          <w:szCs w:val="24"/>
        </w:rPr>
        <w:t>：</w:t>
      </w:r>
      <w:r>
        <w:rPr>
          <w:rFonts w:eastAsia="標楷體" w:cs="Calibri"/>
          <w:szCs w:val="24"/>
        </w:rPr>
        <w:t>eddie.tsang@hkcss.org.hk</w:t>
      </w:r>
    </w:p>
    <w:p w:rsidR="00785701" w:rsidRDefault="00785701" w:rsidP="00785701">
      <w:pPr>
        <w:rPr>
          <w:rFonts w:eastAsia="標楷體"/>
          <w:szCs w:val="24"/>
        </w:rPr>
      </w:pPr>
    </w:p>
    <w:p w:rsidR="00785701" w:rsidRPr="00785701" w:rsidRDefault="0077555E">
      <w:pPr>
        <w:rPr>
          <w:lang w:eastAsia="zh-HK"/>
        </w:rPr>
      </w:pPr>
      <w:r>
        <w:rPr>
          <w:noProof/>
        </w:rPr>
        <w:drawing>
          <wp:anchor distT="0" distB="0" distL="114300" distR="114300" simplePos="0" relativeHeight="251669504" behindDoc="0" locked="0" layoutInCell="1" allowOverlap="1">
            <wp:simplePos x="0" y="0"/>
            <wp:positionH relativeFrom="column">
              <wp:posOffset>-1104900</wp:posOffset>
            </wp:positionH>
            <wp:positionV relativeFrom="page">
              <wp:posOffset>9748520</wp:posOffset>
            </wp:positionV>
            <wp:extent cx="7524750" cy="942975"/>
            <wp:effectExtent l="19050" t="0" r="0" b="0"/>
            <wp:wrapNone/>
            <wp:docPr id="3"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pic:cNvPicPr>
                      <a:picLocks noChangeAspect="1" noChangeArrowheads="1"/>
                    </pic:cNvPicPr>
                  </pic:nvPicPr>
                  <pic:blipFill>
                    <a:blip r:embed="rId9" cstate="print"/>
                    <a:srcRect t="18462" b="13333"/>
                    <a:stretch>
                      <a:fillRect/>
                    </a:stretch>
                  </pic:blipFill>
                  <pic:spPr bwMode="auto">
                    <a:xfrm>
                      <a:off x="0" y="0"/>
                      <a:ext cx="7524750" cy="942975"/>
                    </a:xfrm>
                    <a:prstGeom prst="rect">
                      <a:avLst/>
                    </a:prstGeom>
                    <a:noFill/>
                    <a:ln w="9525">
                      <a:noFill/>
                      <a:miter lim="800000"/>
                      <a:headEnd/>
                      <a:tailEnd/>
                    </a:ln>
                  </pic:spPr>
                </pic:pic>
              </a:graphicData>
            </a:graphic>
          </wp:anchor>
        </w:drawing>
      </w:r>
    </w:p>
    <w:sectPr w:rsidR="00785701" w:rsidRPr="00785701" w:rsidSect="007A32C3">
      <w:pgSz w:w="11906" w:h="16838" w:code="9"/>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1D6" w:rsidRDefault="008F31D6"/>
  </w:endnote>
  <w:endnote w:type="continuationSeparator" w:id="0">
    <w:p w:rsidR="008F31D6" w:rsidRDefault="008F31D6"/>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1D6" w:rsidRDefault="008F31D6"/>
  </w:footnote>
  <w:footnote w:type="continuationSeparator" w:id="0">
    <w:p w:rsidR="008F31D6" w:rsidRDefault="008F31D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F420B"/>
    <w:multiLevelType w:val="multilevel"/>
    <w:tmpl w:val="0EDF420B"/>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4E00"/>
    <w:rsid w:val="000A13E1"/>
    <w:rsid w:val="00114432"/>
    <w:rsid w:val="00237A5D"/>
    <w:rsid w:val="002E761E"/>
    <w:rsid w:val="00314E00"/>
    <w:rsid w:val="003649F9"/>
    <w:rsid w:val="003D1994"/>
    <w:rsid w:val="003F1BA7"/>
    <w:rsid w:val="00511E21"/>
    <w:rsid w:val="00544CD5"/>
    <w:rsid w:val="005615E0"/>
    <w:rsid w:val="006115D0"/>
    <w:rsid w:val="0077555E"/>
    <w:rsid w:val="00785701"/>
    <w:rsid w:val="00792B9A"/>
    <w:rsid w:val="007A32C3"/>
    <w:rsid w:val="0081710C"/>
    <w:rsid w:val="008E472D"/>
    <w:rsid w:val="008F31D6"/>
    <w:rsid w:val="00964F5F"/>
    <w:rsid w:val="00976A0B"/>
    <w:rsid w:val="00983CEA"/>
    <w:rsid w:val="00AF602C"/>
    <w:rsid w:val="00C060C7"/>
    <w:rsid w:val="00C44797"/>
    <w:rsid w:val="00CD2069"/>
    <w:rsid w:val="00DB1AF7"/>
    <w:rsid w:val="00FF2FA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02C"/>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4E00"/>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314E00"/>
    <w:rPr>
      <w:rFonts w:asciiTheme="majorHAnsi" w:eastAsiaTheme="majorEastAsia" w:hAnsiTheme="majorHAnsi" w:cstheme="majorBidi"/>
      <w:sz w:val="18"/>
      <w:szCs w:val="18"/>
    </w:rPr>
  </w:style>
  <w:style w:type="paragraph" w:styleId="a5">
    <w:name w:val="header"/>
    <w:basedOn w:val="a"/>
    <w:link w:val="a6"/>
    <w:uiPriority w:val="99"/>
    <w:semiHidden/>
    <w:unhideWhenUsed/>
    <w:rsid w:val="003F1BA7"/>
    <w:pPr>
      <w:tabs>
        <w:tab w:val="center" w:pos="4153"/>
        <w:tab w:val="right" w:pos="8306"/>
      </w:tabs>
      <w:snapToGrid w:val="0"/>
    </w:pPr>
    <w:rPr>
      <w:sz w:val="20"/>
      <w:szCs w:val="20"/>
    </w:rPr>
  </w:style>
  <w:style w:type="character" w:customStyle="1" w:styleId="a6">
    <w:name w:val="頁首 字元"/>
    <w:basedOn w:val="a0"/>
    <w:link w:val="a5"/>
    <w:uiPriority w:val="99"/>
    <w:semiHidden/>
    <w:rsid w:val="003F1BA7"/>
    <w:rPr>
      <w:sz w:val="20"/>
      <w:szCs w:val="20"/>
    </w:rPr>
  </w:style>
  <w:style w:type="paragraph" w:styleId="a7">
    <w:name w:val="footer"/>
    <w:basedOn w:val="a"/>
    <w:link w:val="a8"/>
    <w:uiPriority w:val="99"/>
    <w:semiHidden/>
    <w:unhideWhenUsed/>
    <w:rsid w:val="003F1BA7"/>
    <w:pPr>
      <w:tabs>
        <w:tab w:val="center" w:pos="4153"/>
        <w:tab w:val="right" w:pos="8306"/>
      </w:tabs>
      <w:snapToGrid w:val="0"/>
    </w:pPr>
    <w:rPr>
      <w:sz w:val="20"/>
      <w:szCs w:val="20"/>
    </w:rPr>
  </w:style>
  <w:style w:type="character" w:customStyle="1" w:styleId="a8">
    <w:name w:val="頁尾 字元"/>
    <w:basedOn w:val="a0"/>
    <w:link w:val="a7"/>
    <w:uiPriority w:val="99"/>
    <w:semiHidden/>
    <w:rsid w:val="003F1BA7"/>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1E855F-0DBF-4434-A387-46C09097B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302</Words>
  <Characters>1722</Characters>
  <Application>Microsoft Office Word</Application>
  <DocSecurity>0</DocSecurity>
  <Lines>14</Lines>
  <Paragraphs>4</Paragraphs>
  <ScaleCrop>false</ScaleCrop>
  <Company>Hewlett-Packard Company</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s0040</dc:creator>
  <cp:lastModifiedBy>s0824</cp:lastModifiedBy>
  <cp:revision>5</cp:revision>
  <cp:lastPrinted>2017-10-09T05:59:00Z</cp:lastPrinted>
  <dcterms:created xsi:type="dcterms:W3CDTF">2017-10-09T05:48:00Z</dcterms:created>
  <dcterms:modified xsi:type="dcterms:W3CDTF">2017-10-09T07:36:00Z</dcterms:modified>
</cp:coreProperties>
</file>