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6F7D" w14:textId="1D489BB1" w:rsidR="0072740A" w:rsidRPr="00F207A5" w:rsidRDefault="0072740A">
      <w:pPr>
        <w:rPr>
          <w:b/>
          <w:bCs/>
          <w:sz w:val="32"/>
          <w:szCs w:val="28"/>
        </w:rPr>
      </w:pPr>
      <w:r w:rsidRPr="00F207A5">
        <w:rPr>
          <w:rFonts w:hint="eastAsia"/>
          <w:b/>
          <w:bCs/>
          <w:sz w:val="32"/>
          <w:szCs w:val="28"/>
        </w:rPr>
        <w:t>關於東華三院</w:t>
      </w:r>
    </w:p>
    <w:tbl>
      <w:tblPr>
        <w:tblStyle w:val="a3"/>
        <w:tblW w:w="8490" w:type="dxa"/>
        <w:jc w:val="center"/>
        <w:tblLook w:val="04A0" w:firstRow="1" w:lastRow="0" w:firstColumn="1" w:lastColumn="0" w:noHBand="0" w:noVBand="1"/>
      </w:tblPr>
      <w:tblGrid>
        <w:gridCol w:w="8490"/>
      </w:tblGrid>
      <w:tr w:rsidR="0072740A" w14:paraId="784C73A8" w14:textId="77777777" w:rsidTr="00F207A5">
        <w:trPr>
          <w:jc w:val="center"/>
        </w:trPr>
        <w:tc>
          <w:tcPr>
            <w:tcW w:w="8490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14:paraId="68C12CF8" w14:textId="77777777" w:rsidR="00F207A5" w:rsidRDefault="00F207A5" w:rsidP="00F207A5">
            <w:pPr>
              <w:pStyle w:val="Web"/>
              <w:shd w:val="clear" w:color="auto" w:fill="FFFFFF"/>
              <w:spacing w:before="0" w:beforeAutospacing="0" w:after="300" w:afterAutospacing="0"/>
              <w:jc w:val="both"/>
              <w:textAlignment w:val="baseline"/>
              <w:rPr>
                <w:rFonts w:ascii="Helvetica" w:hAnsi="Helvetica" w:cs="Helvetica"/>
                <w:color w:val="B78535"/>
              </w:rPr>
            </w:pPr>
            <w:r>
              <w:rPr>
                <w:rFonts w:ascii="新細明體" w:eastAsia="新細明體" w:hAnsi="新細明體" w:cs="新細明體" w:hint="eastAsia"/>
                <w:color w:val="B78535"/>
              </w:rPr>
              <w:t>「東華三院是一個傳奇的香港故事，這故事與香港東西匯聚的社會同步開展，</w:t>
            </w:r>
            <w:r>
              <w:rPr>
                <w:rFonts w:ascii="Helvetica" w:hAnsi="Helvetica" w:cs="Helvetica"/>
                <w:color w:val="B78535"/>
              </w:rPr>
              <w:t>150</w:t>
            </w:r>
            <w:r>
              <w:rPr>
                <w:rFonts w:ascii="新細明體" w:eastAsia="新細明體" w:hAnsi="新細明體" w:cs="新細明體" w:hint="eastAsia"/>
                <w:color w:val="B78535"/>
              </w:rPr>
              <w:t>年來從未間斷。從創建到今天，東華既無政治聯繫，亦無宗教背景，卻一直是香港規模最大的華人慈善機構。即使置於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B78535"/>
              </w:rPr>
              <w:t>全球善業的</w:t>
            </w:r>
            <w:proofErr w:type="gramEnd"/>
            <w:r>
              <w:rPr>
                <w:rFonts w:ascii="新細明體" w:eastAsia="新細明體" w:hAnsi="新細明體" w:cs="新細明體" w:hint="eastAsia"/>
                <w:color w:val="B78535"/>
              </w:rPr>
              <w:t>語境之中，東華的性格與規模亦足以在世界各國的慈善組織中獨樹一幟。」</w:t>
            </w:r>
          </w:p>
          <w:p w14:paraId="55174204" w14:textId="76486A44" w:rsidR="0072740A" w:rsidRPr="00F207A5" w:rsidRDefault="00F207A5" w:rsidP="00F207A5">
            <w:pPr>
              <w:pStyle w:val="Web"/>
              <w:shd w:val="clear" w:color="auto" w:fill="FFFFFF"/>
              <w:spacing w:before="0" w:beforeAutospacing="0" w:after="300" w:afterAutospacing="0"/>
              <w:jc w:val="right"/>
              <w:textAlignment w:val="baseline"/>
              <w:rPr>
                <w:rFonts w:ascii="Helvetica" w:eastAsiaTheme="minorEastAsia" w:hAnsi="Helvetica" w:cs="Helvetica" w:hint="eastAsia"/>
                <w:color w:val="B78535"/>
              </w:rPr>
            </w:pPr>
            <w:r>
              <w:rPr>
                <w:rFonts w:ascii="新細明體" w:eastAsia="新細明體" w:hAnsi="新細明體" w:cs="新細明體" w:hint="eastAsia"/>
                <w:color w:val="B78535"/>
              </w:rPr>
              <w:t>節錄自《善道同行</w:t>
            </w:r>
            <w:r>
              <w:rPr>
                <w:rFonts w:ascii="Helvetica" w:hAnsi="Helvetica" w:cs="Helvetica"/>
                <w:color w:val="B78535"/>
              </w:rPr>
              <w:t>——</w:t>
            </w:r>
            <w:r>
              <w:rPr>
                <w:rFonts w:ascii="新細明體" w:eastAsia="新細明體" w:hAnsi="新細明體" w:cs="新細明體" w:hint="eastAsia"/>
                <w:color w:val="B78535"/>
              </w:rPr>
              <w:t>東華三院一百五十周年史略》「總結」</w:t>
            </w:r>
          </w:p>
        </w:tc>
      </w:tr>
    </w:tbl>
    <w:p w14:paraId="68004ECC" w14:textId="77777777" w:rsidR="00F207A5" w:rsidRDefault="00F207A5" w:rsidP="00F207A5">
      <w:pPr>
        <w:widowControl/>
        <w:shd w:val="clear" w:color="auto" w:fill="FFFFFF"/>
        <w:jc w:val="both"/>
        <w:textAlignment w:val="baseline"/>
        <w:rPr>
          <w:rFonts w:ascii="新細明體" w:eastAsia="新細明體" w:hAnsi="新細明體" w:cs="新細明體"/>
          <w:color w:val="555555"/>
          <w:kern w:val="0"/>
          <w:sz w:val="21"/>
          <w:szCs w:val="21"/>
        </w:rPr>
      </w:pPr>
      <w:r>
        <w:rPr>
          <w:noProof/>
        </w:rPr>
        <w:drawing>
          <wp:inline distT="0" distB="0" distL="0" distR="0" wp14:anchorId="05DB48DD" wp14:editId="488709A5">
            <wp:extent cx="2381250" cy="1612900"/>
            <wp:effectExtent l="0" t="0" r="0" b="6350"/>
            <wp:docPr id="9" name="圖片 9" descr="東華醫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東華醫院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2F6EC" w14:textId="7F89E417" w:rsidR="00F207A5" w:rsidRDefault="00F207A5" w:rsidP="00F207A5">
      <w:pPr>
        <w:widowControl/>
        <w:shd w:val="clear" w:color="auto" w:fill="FFFFFF"/>
        <w:jc w:val="both"/>
        <w:textAlignment w:val="baseline"/>
        <w:rPr>
          <w:rFonts w:ascii="新細明體" w:eastAsia="新細明體" w:hAnsi="新細明體" w:cs="新細明體"/>
          <w:color w:val="555555"/>
          <w:kern w:val="0"/>
          <w:sz w:val="21"/>
          <w:szCs w:val="21"/>
        </w:rPr>
      </w:pP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東華三院於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1870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年創辦，前身為</w:t>
      </w:r>
      <w:hyperlink r:id="rId5" w:history="1">
        <w:r w:rsidRPr="00F207A5">
          <w:rPr>
            <w:rFonts w:ascii="新細明體" w:eastAsia="新細明體" w:hAnsi="新細明體" w:cs="新細明體" w:hint="eastAsia"/>
            <w:color w:val="966B2F"/>
            <w:kern w:val="0"/>
            <w:sz w:val="21"/>
            <w:szCs w:val="21"/>
            <w:bdr w:val="none" w:sz="0" w:space="0" w:color="auto" w:frame="1"/>
          </w:rPr>
          <w:t>東華醫院</w:t>
        </w:r>
      </w:hyperlink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。作為本港歷史最悠久慈善機構，本院見證社會發展，因時制宜，不斷推展</w:t>
      </w:r>
      <w:proofErr w:type="gramStart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適切及優質</w:t>
      </w:r>
      <w:proofErr w:type="gramEnd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的醫療、教育、社會及公共服務，貫徹「救病</w:t>
      </w:r>
      <w:proofErr w:type="gramStart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拯</w:t>
      </w:r>
      <w:proofErr w:type="gramEnd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危、</w:t>
      </w:r>
      <w:proofErr w:type="gramStart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安老復康</w:t>
      </w:r>
      <w:proofErr w:type="gramEnd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、興學育才、扶</w:t>
      </w:r>
      <w:proofErr w:type="gramStart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幼導青</w:t>
      </w:r>
      <w:proofErr w:type="gramEnd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」使命。時至今日，本院已成為全港最具規模的慈善機構，轄下共有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357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個服務單位，計有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5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間醫院、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37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個中西醫療衞生服務單位、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60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個教育服務單位、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229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個安老、青少年及家庭、復康及社會企業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/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創新社會服務單位，以及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24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個提供殯儀、廟祀及義莊服務的公共服務單位，服務範圍廣泛全面。</w:t>
      </w:r>
      <w:proofErr w:type="gramStart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此外，</w:t>
      </w:r>
      <w:proofErr w:type="gramEnd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本院亦設有東華三院文物館及東華三</w:t>
      </w:r>
      <w:proofErr w:type="gramStart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院何超蕸</w:t>
      </w:r>
      <w:proofErr w:type="gramEnd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檔案及文物中心，負責保存機構檔案，並向公眾介紹本院歷史及修復工作，肩負文化傳承與保育責任</w:t>
      </w:r>
      <w:r w:rsidRPr="00F207A5">
        <w:rPr>
          <w:rFonts w:ascii="新細明體" w:eastAsia="新細明體" w:hAnsi="新細明體" w:cs="新細明體"/>
          <w:color w:val="555555"/>
          <w:kern w:val="0"/>
          <w:sz w:val="21"/>
          <w:szCs w:val="21"/>
        </w:rPr>
        <w:t>。</w:t>
      </w:r>
    </w:p>
    <w:p w14:paraId="4DA5ADCA" w14:textId="4C38451B" w:rsidR="00F207A5" w:rsidRPr="00F207A5" w:rsidRDefault="00F207A5" w:rsidP="00F207A5">
      <w:pPr>
        <w:widowControl/>
        <w:shd w:val="clear" w:color="auto" w:fill="FFFFFF"/>
        <w:jc w:val="center"/>
        <w:textAlignment w:val="baseline"/>
        <w:rPr>
          <w:rFonts w:ascii="Helvetica" w:eastAsia="Times New Roman" w:hAnsi="Helvetica" w:cs="Helvetica" w:hint="eastAsia"/>
          <w:color w:val="555555"/>
          <w:kern w:val="0"/>
          <w:sz w:val="21"/>
          <w:szCs w:val="21"/>
        </w:rPr>
      </w:pPr>
    </w:p>
    <w:p w14:paraId="6AB77E7E" w14:textId="77777777" w:rsidR="00F207A5" w:rsidRPr="00F207A5" w:rsidRDefault="00F207A5" w:rsidP="00F207A5">
      <w:pPr>
        <w:widowControl/>
        <w:shd w:val="clear" w:color="auto" w:fill="FFFFFF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color w:val="555555"/>
          <w:kern w:val="0"/>
          <w:sz w:val="29"/>
          <w:szCs w:val="29"/>
        </w:rPr>
      </w:pPr>
      <w:hyperlink r:id="rId6" w:history="1">
        <w:r w:rsidRPr="00F207A5">
          <w:rPr>
            <w:rFonts w:ascii="新細明體" w:eastAsia="新細明體" w:hAnsi="新細明體" w:cs="新細明體" w:hint="eastAsia"/>
            <w:b/>
            <w:bCs/>
            <w:color w:val="966B2F"/>
            <w:kern w:val="0"/>
            <w:sz w:val="25"/>
            <w:szCs w:val="25"/>
            <w:bdr w:val="none" w:sz="0" w:space="0" w:color="auto" w:frame="1"/>
          </w:rPr>
          <w:t>中西醫療衛生服務</w:t>
        </w:r>
      </w:hyperlink>
    </w:p>
    <w:p w14:paraId="0418E600" w14:textId="77777777" w:rsidR="00F207A5" w:rsidRDefault="00F207A5" w:rsidP="00F207A5">
      <w:pPr>
        <w:widowControl/>
        <w:shd w:val="clear" w:color="auto" w:fill="FFFFFF"/>
        <w:spacing w:after="300"/>
        <w:jc w:val="both"/>
        <w:textAlignment w:val="baseline"/>
        <w:rPr>
          <w:rFonts w:ascii="新細明體" w:eastAsia="新細明體" w:hAnsi="新細明體" w:cs="新細明體"/>
          <w:color w:val="555555"/>
          <w:kern w:val="0"/>
          <w:sz w:val="21"/>
          <w:szCs w:val="21"/>
        </w:rPr>
      </w:pPr>
      <w:r w:rsidRPr="00F207A5">
        <w:rPr>
          <w:rFonts w:ascii="Helvetica" w:eastAsia="Times New Roman" w:hAnsi="Helvetica" w:cs="Helvetica"/>
          <w:noProof/>
          <w:color w:val="555555"/>
          <w:kern w:val="0"/>
          <w:sz w:val="21"/>
          <w:szCs w:val="21"/>
        </w:rPr>
        <w:drawing>
          <wp:inline distT="0" distB="0" distL="0" distR="0" wp14:anchorId="69A72032" wp14:editId="4B8B1A2C">
            <wp:extent cx="2381250" cy="1778000"/>
            <wp:effectExtent l="0" t="0" r="0" b="0"/>
            <wp:docPr id="5" name="圖片 5" descr="中西醫療衛生服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中西醫療衛生服務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CA1E9" w14:textId="6EDBDF78" w:rsidR="00F207A5" w:rsidRPr="00F207A5" w:rsidRDefault="00F207A5" w:rsidP="00F207A5">
      <w:pPr>
        <w:widowControl/>
        <w:shd w:val="clear" w:color="auto" w:fill="FFFFFF"/>
        <w:spacing w:after="300"/>
        <w:jc w:val="both"/>
        <w:textAlignment w:val="baseline"/>
        <w:rPr>
          <w:rFonts w:ascii="Helvetica" w:eastAsia="Times New Roman" w:hAnsi="Helvetica" w:cs="Helvetica"/>
          <w:color w:val="555555"/>
          <w:kern w:val="0"/>
          <w:sz w:val="21"/>
          <w:szCs w:val="21"/>
        </w:rPr>
      </w:pP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東華三院共有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41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個醫療衞生服務單位，提供中西醫藥服務、健康普查服務及長者健康服務，當中包括本院董事局透過醫院管治委員會積極參與管理的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5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家醫院，即東華醫院、廣華醫院、東華東院、東華三院黃大仙醫院及東華三院馮堯敬醫院。五家醫院共設有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2,594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張病床</w:t>
      </w:r>
      <w:r w:rsidRPr="00F207A5">
        <w:rPr>
          <w:rFonts w:ascii="新細明體" w:eastAsia="新細明體" w:hAnsi="新細明體" w:cs="新細明體"/>
          <w:color w:val="555555"/>
          <w:kern w:val="0"/>
          <w:sz w:val="21"/>
          <w:szCs w:val="21"/>
        </w:rPr>
        <w:t>。</w:t>
      </w:r>
    </w:p>
    <w:p w14:paraId="745C1DF7" w14:textId="77777777" w:rsidR="00F207A5" w:rsidRPr="00F207A5" w:rsidRDefault="00F207A5" w:rsidP="00F207A5">
      <w:pPr>
        <w:widowControl/>
        <w:shd w:val="clear" w:color="auto" w:fill="FFFFFF"/>
        <w:spacing w:after="300"/>
        <w:jc w:val="both"/>
        <w:textAlignment w:val="baseline"/>
        <w:rPr>
          <w:rFonts w:ascii="Helvetica" w:eastAsia="Times New Roman" w:hAnsi="Helvetica" w:cs="Helvetica"/>
          <w:color w:val="555555"/>
          <w:kern w:val="0"/>
          <w:sz w:val="21"/>
          <w:szCs w:val="21"/>
        </w:rPr>
      </w:pP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lastRenderedPageBreak/>
        <w:t>東華三院提供的其他醫療衞生服務及中醫藥服務，包括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6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家分別位於廣華醫院（為配合廣華醫院重建工程，原位於廣華醫院的中心已遷往油麻地新填地街東寶閣）、東華醫院、東華三院黃大仙醫院、東華東院及東區尤德夫人那打素醫院的中醫藥科研中心、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5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家中西醫藥結合治療中心／服務單位、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1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家中西醫結合健康管理中心（上醫館）、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2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家中醫流動診所、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2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家社區中醫診所、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1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家中藥檢驗中心、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1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項中醫外展服務、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1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家中央煎藥中心、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2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個中醫普通科門診部、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2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個婦女健康普查部、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2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家綜合診斷及醫療中心、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1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家電腦掃描中心、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1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家內視鏡中心、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1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家血液透析中心、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2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家復康中心、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3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家牙科診所、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1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項智障人士牙科服務、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1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項長者牙科外展服務及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1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項長者醫療外展服務項目</w:t>
      </w:r>
      <w:r w:rsidRPr="00F207A5">
        <w:rPr>
          <w:rFonts w:ascii="新細明體" w:eastAsia="新細明體" w:hAnsi="新細明體" w:cs="新細明體"/>
          <w:color w:val="555555"/>
          <w:kern w:val="0"/>
          <w:sz w:val="21"/>
          <w:szCs w:val="21"/>
        </w:rPr>
        <w:t>。</w:t>
      </w:r>
    </w:p>
    <w:p w14:paraId="0CF68106" w14:textId="77777777" w:rsidR="00F207A5" w:rsidRPr="00F207A5" w:rsidRDefault="00F207A5" w:rsidP="00F207A5">
      <w:pPr>
        <w:widowControl/>
        <w:shd w:val="clear" w:color="auto" w:fill="FFFFFF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color w:val="555555"/>
          <w:kern w:val="0"/>
          <w:sz w:val="29"/>
          <w:szCs w:val="29"/>
        </w:rPr>
      </w:pPr>
      <w:hyperlink r:id="rId8" w:history="1">
        <w:r w:rsidRPr="00F207A5">
          <w:rPr>
            <w:rFonts w:ascii="新細明體" w:eastAsia="新細明體" w:hAnsi="新細明體" w:cs="新細明體" w:hint="eastAsia"/>
            <w:b/>
            <w:bCs/>
            <w:color w:val="966B2F"/>
            <w:kern w:val="0"/>
            <w:sz w:val="25"/>
            <w:szCs w:val="25"/>
            <w:bdr w:val="none" w:sz="0" w:space="0" w:color="auto" w:frame="1"/>
          </w:rPr>
          <w:t>教育服務</w:t>
        </w:r>
      </w:hyperlink>
    </w:p>
    <w:p w14:paraId="02BA4D3E" w14:textId="77777777" w:rsidR="00F207A5" w:rsidRDefault="00F207A5" w:rsidP="00F207A5">
      <w:pPr>
        <w:widowControl/>
        <w:shd w:val="clear" w:color="auto" w:fill="FFFFFF"/>
        <w:spacing w:after="300"/>
        <w:jc w:val="both"/>
        <w:textAlignment w:val="baseline"/>
        <w:rPr>
          <w:rFonts w:ascii="新細明體" w:eastAsia="新細明體" w:hAnsi="新細明體" w:cs="新細明體"/>
          <w:color w:val="555555"/>
          <w:kern w:val="0"/>
          <w:sz w:val="21"/>
          <w:szCs w:val="21"/>
        </w:rPr>
      </w:pPr>
      <w:r w:rsidRPr="00F207A5">
        <w:rPr>
          <w:rFonts w:ascii="Helvetica" w:eastAsia="Times New Roman" w:hAnsi="Helvetica" w:cs="Helvetica"/>
          <w:noProof/>
          <w:color w:val="555555"/>
          <w:kern w:val="0"/>
          <w:sz w:val="21"/>
          <w:szCs w:val="21"/>
        </w:rPr>
        <w:drawing>
          <wp:inline distT="0" distB="0" distL="0" distR="0" wp14:anchorId="3277D510" wp14:editId="3A35A0CD">
            <wp:extent cx="2381250" cy="1778000"/>
            <wp:effectExtent l="0" t="0" r="0" b="0"/>
            <wp:docPr id="6" name="圖片 6" descr="教育服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教育服務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0730F" w14:textId="4A3C3496" w:rsidR="00F207A5" w:rsidRPr="00F207A5" w:rsidRDefault="00F207A5" w:rsidP="00F207A5">
      <w:pPr>
        <w:widowControl/>
        <w:shd w:val="clear" w:color="auto" w:fill="FFFFFF"/>
        <w:spacing w:after="300"/>
        <w:jc w:val="both"/>
        <w:textAlignment w:val="baseline"/>
        <w:rPr>
          <w:rFonts w:ascii="Helvetica" w:eastAsia="Times New Roman" w:hAnsi="Helvetica" w:cs="Helvetica"/>
          <w:color w:val="555555"/>
          <w:kern w:val="0"/>
          <w:sz w:val="21"/>
          <w:szCs w:val="21"/>
        </w:rPr>
      </w:pP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東華三院自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1880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年於文武廟創立平民義學以來，一直與時並進，是本港具規模的辦學團體。目前，本</w:t>
      </w:r>
      <w:proofErr w:type="gramStart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院營辦</w:t>
      </w:r>
      <w:proofErr w:type="gramEnd"/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18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間中學、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14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間小學、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18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間幼稚園及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2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間特殊學校，以「勤、儉、忠、信」為校訓，為莘莘學子提供優質教育服務。</w:t>
      </w:r>
      <w:proofErr w:type="gramStart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此外，</w:t>
      </w:r>
      <w:proofErr w:type="gramEnd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本院還設立了東華三院何玉清教育心理服務中心，以照顧有特殊學習需要的學生。本院屬下所有資助</w:t>
      </w:r>
      <w:proofErr w:type="gramStart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學校均已成</w:t>
      </w:r>
      <w:proofErr w:type="gramEnd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立法團校董會，讓更多</w:t>
      </w:r>
      <w:proofErr w:type="gramStart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持份者參與</w:t>
      </w:r>
      <w:proofErr w:type="gramEnd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校政，加強學校的透明度</w:t>
      </w:r>
      <w:proofErr w:type="gramStart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和問責性</w:t>
      </w:r>
      <w:proofErr w:type="gramEnd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，促進學校的持續發展</w:t>
      </w:r>
      <w:r w:rsidRPr="00F207A5">
        <w:rPr>
          <w:rFonts w:ascii="新細明體" w:eastAsia="新細明體" w:hAnsi="新細明體" w:cs="新細明體"/>
          <w:color w:val="555555"/>
          <w:kern w:val="0"/>
          <w:sz w:val="21"/>
          <w:szCs w:val="21"/>
        </w:rPr>
        <w:t>。</w:t>
      </w:r>
    </w:p>
    <w:p w14:paraId="5D0AE2E9" w14:textId="77777777" w:rsidR="00F207A5" w:rsidRPr="00F207A5" w:rsidRDefault="00F207A5" w:rsidP="00F207A5">
      <w:pPr>
        <w:widowControl/>
        <w:shd w:val="clear" w:color="auto" w:fill="FFFFFF"/>
        <w:spacing w:after="300"/>
        <w:jc w:val="both"/>
        <w:textAlignment w:val="baseline"/>
        <w:rPr>
          <w:rFonts w:ascii="Helvetica" w:eastAsia="Times New Roman" w:hAnsi="Helvetica" w:cs="Helvetica"/>
          <w:color w:val="555555"/>
          <w:kern w:val="0"/>
          <w:sz w:val="21"/>
          <w:szCs w:val="21"/>
        </w:rPr>
      </w:pP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為回應社會對專上教育學位的需求，本院於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2010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年以自負盈虧的運作模式成立東華學院，提供優質的高等教育，培養年輕學子成為切合社會所需的優秀人才。東華學院於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2011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年獲教育局確認，根據《專上學院條例》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(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第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320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章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)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正式註冊成為一所</w:t>
      </w:r>
      <w:proofErr w:type="gramStart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可頒受</w:t>
      </w:r>
      <w:proofErr w:type="gramEnd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學位的專上學院，成立至今共培育了超過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2,000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名畢業生</w:t>
      </w:r>
      <w:r w:rsidRPr="00F207A5">
        <w:rPr>
          <w:rFonts w:ascii="新細明體" w:eastAsia="新細明體" w:hAnsi="新細明體" w:cs="新細明體"/>
          <w:color w:val="555555"/>
          <w:kern w:val="0"/>
          <w:sz w:val="21"/>
          <w:szCs w:val="21"/>
        </w:rPr>
        <w:t>。</w:t>
      </w:r>
    </w:p>
    <w:p w14:paraId="05AFE408" w14:textId="77777777" w:rsidR="00F207A5" w:rsidRPr="00F207A5" w:rsidRDefault="00F207A5" w:rsidP="00F207A5">
      <w:pPr>
        <w:widowControl/>
        <w:shd w:val="clear" w:color="auto" w:fill="FFFFFF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color w:val="555555"/>
          <w:kern w:val="0"/>
          <w:sz w:val="29"/>
          <w:szCs w:val="29"/>
        </w:rPr>
      </w:pPr>
      <w:hyperlink r:id="rId10" w:history="1">
        <w:r w:rsidRPr="00F207A5">
          <w:rPr>
            <w:rFonts w:ascii="新細明體" w:eastAsia="新細明體" w:hAnsi="新細明體" w:cs="新細明體" w:hint="eastAsia"/>
            <w:b/>
            <w:bCs/>
            <w:color w:val="966B2F"/>
            <w:kern w:val="0"/>
            <w:sz w:val="25"/>
            <w:szCs w:val="25"/>
            <w:bdr w:val="none" w:sz="0" w:space="0" w:color="auto" w:frame="1"/>
          </w:rPr>
          <w:t>社會服務</w:t>
        </w:r>
      </w:hyperlink>
    </w:p>
    <w:p w14:paraId="54C9F01C" w14:textId="77777777" w:rsidR="00F207A5" w:rsidRDefault="00F207A5" w:rsidP="00F207A5">
      <w:pPr>
        <w:widowControl/>
        <w:shd w:val="clear" w:color="auto" w:fill="FFFFFF"/>
        <w:spacing w:after="300"/>
        <w:jc w:val="both"/>
        <w:textAlignment w:val="baseline"/>
        <w:rPr>
          <w:rFonts w:ascii="新細明體" w:eastAsia="新細明體" w:hAnsi="新細明體" w:cs="新細明體"/>
          <w:color w:val="555555"/>
          <w:kern w:val="0"/>
          <w:sz w:val="21"/>
          <w:szCs w:val="21"/>
        </w:rPr>
      </w:pPr>
      <w:r w:rsidRPr="00F207A5">
        <w:rPr>
          <w:rFonts w:ascii="Helvetica" w:eastAsia="Times New Roman" w:hAnsi="Helvetica" w:cs="Helvetica"/>
          <w:noProof/>
          <w:color w:val="555555"/>
          <w:kern w:val="0"/>
          <w:sz w:val="21"/>
          <w:szCs w:val="21"/>
        </w:rPr>
        <w:drawing>
          <wp:inline distT="0" distB="0" distL="0" distR="0" wp14:anchorId="3666B815" wp14:editId="1DB0CEC7">
            <wp:extent cx="2393950" cy="1593850"/>
            <wp:effectExtent l="0" t="0" r="6350" b="6350"/>
            <wp:docPr id="7" name="圖片 7" descr="社會服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社會服務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BC326" w14:textId="4031E278" w:rsidR="00F207A5" w:rsidRPr="00F207A5" w:rsidRDefault="00F207A5" w:rsidP="00F207A5">
      <w:pPr>
        <w:widowControl/>
        <w:shd w:val="clear" w:color="auto" w:fill="FFFFFF"/>
        <w:spacing w:after="300"/>
        <w:jc w:val="both"/>
        <w:textAlignment w:val="baseline"/>
        <w:rPr>
          <w:rFonts w:ascii="Helvetica" w:eastAsia="Times New Roman" w:hAnsi="Helvetica" w:cs="Helvetica"/>
          <w:color w:val="555555"/>
          <w:kern w:val="0"/>
          <w:sz w:val="21"/>
          <w:szCs w:val="21"/>
        </w:rPr>
      </w:pP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lastRenderedPageBreak/>
        <w:t>東華三院共有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229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個社會服務單位，包括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66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個安老服務單位、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81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個青少年及家庭服務單位、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53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個復康服務單位、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29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個社會企業及社會創新服務單位，為家庭、兒童及青少年、長者及殘疾人士提供多元化的福利服務，以求達至「優質照顧，全人發展」的服務目標</w:t>
      </w:r>
      <w:r w:rsidRPr="00F207A5">
        <w:rPr>
          <w:rFonts w:ascii="新細明體" w:eastAsia="新細明體" w:hAnsi="新細明體" w:cs="新細明體"/>
          <w:color w:val="555555"/>
          <w:kern w:val="0"/>
          <w:sz w:val="21"/>
          <w:szCs w:val="21"/>
        </w:rPr>
        <w:t>。</w:t>
      </w:r>
    </w:p>
    <w:p w14:paraId="6F0A6424" w14:textId="77777777" w:rsidR="00F207A5" w:rsidRPr="00F207A5" w:rsidRDefault="00F207A5" w:rsidP="00F207A5">
      <w:pPr>
        <w:widowControl/>
        <w:shd w:val="clear" w:color="auto" w:fill="FFFFFF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color w:val="555555"/>
          <w:kern w:val="0"/>
          <w:sz w:val="29"/>
          <w:szCs w:val="29"/>
        </w:rPr>
      </w:pPr>
      <w:hyperlink r:id="rId12" w:history="1">
        <w:r w:rsidRPr="00F207A5">
          <w:rPr>
            <w:rFonts w:ascii="新細明體" w:eastAsia="新細明體" w:hAnsi="新細明體" w:cs="新細明體" w:hint="eastAsia"/>
            <w:b/>
            <w:bCs/>
            <w:color w:val="966B2F"/>
            <w:kern w:val="0"/>
            <w:sz w:val="25"/>
            <w:szCs w:val="25"/>
            <w:bdr w:val="none" w:sz="0" w:space="0" w:color="auto" w:frame="1"/>
          </w:rPr>
          <w:t>公共服務</w:t>
        </w:r>
      </w:hyperlink>
    </w:p>
    <w:p w14:paraId="7CB0A306" w14:textId="620D3CD5" w:rsidR="00F207A5" w:rsidRDefault="00F207A5" w:rsidP="00F207A5">
      <w:pPr>
        <w:widowControl/>
        <w:shd w:val="clear" w:color="auto" w:fill="FFFFFF"/>
        <w:jc w:val="both"/>
        <w:textAlignment w:val="baseline"/>
        <w:rPr>
          <w:rFonts w:ascii="新細明體" w:eastAsia="新細明體" w:hAnsi="新細明體" w:cs="新細明體"/>
          <w:color w:val="555555"/>
          <w:kern w:val="0"/>
          <w:sz w:val="21"/>
          <w:szCs w:val="21"/>
        </w:rPr>
      </w:pP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本院提供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3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類公共服務，包括</w:t>
      </w:r>
      <w:proofErr w:type="gramStart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殯</w:t>
      </w:r>
      <w:proofErr w:type="gramEnd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儀及</w:t>
      </w:r>
      <w:proofErr w:type="gramStart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殮</w:t>
      </w:r>
      <w:proofErr w:type="gramEnd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葬、廟宇及祭祀，以及傳統文化服務，合共管理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24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個服務單位。轄下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5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間殯儀館，為有需要的公眾人士提供優質且收費低廉的傳統</w:t>
      </w:r>
      <w:proofErr w:type="gramStart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殯</w:t>
      </w:r>
      <w:proofErr w:type="gramEnd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儀服務，並會提供紀念花園及海上</w:t>
      </w:r>
      <w:proofErr w:type="gramStart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撒灰等</w:t>
      </w:r>
      <w:proofErr w:type="gramEnd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服務選擇，藉以推廣綠色殯葬；</w:t>
      </w:r>
      <w:proofErr w:type="gramStart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東華義莊則</w:t>
      </w:r>
      <w:proofErr w:type="gramEnd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提供暫存先人靈柩、骨</w:t>
      </w:r>
      <w:proofErr w:type="gramStart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殖</w:t>
      </w:r>
      <w:proofErr w:type="gramEnd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和</w:t>
      </w:r>
      <w:proofErr w:type="gramStart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骨灰龕位租賃</w:t>
      </w:r>
      <w:proofErr w:type="gramEnd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服務。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13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間廟宇、</w:t>
      </w:r>
      <w:proofErr w:type="gramStart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簽品哲理</w:t>
      </w:r>
      <w:proofErr w:type="gramEnd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中心及</w:t>
      </w:r>
      <w:proofErr w:type="gramStart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牌位庫則讓</w:t>
      </w:r>
      <w:proofErr w:type="gramEnd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善信參拜祈福。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6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個傳統文化服務單位，如位於</w:t>
      </w:r>
      <w:proofErr w:type="gramStart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灣仔洪聖廟</w:t>
      </w:r>
      <w:proofErr w:type="gramEnd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旁的東華三院「創活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MM</w:t>
      </w:r>
      <w:r w:rsidRPr="00F207A5">
        <w:rPr>
          <w:rFonts w:ascii="inherit" w:eastAsia="Times New Roman" w:hAnsi="inherit" w:cs="Helvetica"/>
          <w:color w:val="555555"/>
          <w:kern w:val="0"/>
          <w:sz w:val="18"/>
          <w:szCs w:val="18"/>
          <w:bdr w:val="none" w:sz="0" w:space="0" w:color="auto" w:frame="1"/>
          <w:vertAlign w:val="superscript"/>
        </w:rPr>
        <w:t>2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」中華文創咖啡店及近期於中環街市開業的小店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by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文武廟等，定期舉辦</w:t>
      </w:r>
      <w:proofErr w:type="gramStart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社區文創及</w:t>
      </w:r>
      <w:proofErr w:type="gramEnd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中華文化推廣活動，致力將傳統文化融入社區及市民生活，揉合保育與時尚</w:t>
      </w:r>
      <w:r w:rsidRPr="00F207A5">
        <w:rPr>
          <w:rFonts w:ascii="新細明體" w:eastAsia="新細明體" w:hAnsi="新細明體" w:cs="新細明體"/>
          <w:color w:val="555555"/>
          <w:kern w:val="0"/>
          <w:sz w:val="21"/>
          <w:szCs w:val="21"/>
        </w:rPr>
        <w:t>。</w:t>
      </w:r>
    </w:p>
    <w:p w14:paraId="30E3AF57" w14:textId="77777777" w:rsidR="00F207A5" w:rsidRPr="00F207A5" w:rsidRDefault="00F207A5" w:rsidP="00F207A5">
      <w:pPr>
        <w:widowControl/>
        <w:shd w:val="clear" w:color="auto" w:fill="FFFFFF"/>
        <w:jc w:val="both"/>
        <w:textAlignment w:val="baseline"/>
        <w:rPr>
          <w:rFonts w:ascii="Helvetica" w:eastAsia="Times New Roman" w:hAnsi="Helvetica" w:cs="Helvetica" w:hint="eastAsia"/>
          <w:color w:val="555555"/>
          <w:kern w:val="0"/>
          <w:sz w:val="21"/>
          <w:szCs w:val="21"/>
        </w:rPr>
      </w:pPr>
    </w:p>
    <w:p w14:paraId="1F6B1764" w14:textId="77777777" w:rsidR="00F207A5" w:rsidRPr="00F207A5" w:rsidRDefault="00F207A5" w:rsidP="00F207A5">
      <w:pPr>
        <w:widowControl/>
        <w:shd w:val="clear" w:color="auto" w:fill="FFFFFF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color w:val="555555"/>
          <w:kern w:val="0"/>
          <w:sz w:val="29"/>
          <w:szCs w:val="29"/>
        </w:rPr>
      </w:pPr>
      <w:hyperlink r:id="rId13" w:history="1">
        <w:r w:rsidRPr="00F207A5">
          <w:rPr>
            <w:rFonts w:ascii="新細明體" w:eastAsia="新細明體" w:hAnsi="新細明體" w:cs="新細明體" w:hint="eastAsia"/>
            <w:b/>
            <w:bCs/>
            <w:color w:val="966B2F"/>
            <w:kern w:val="0"/>
            <w:sz w:val="25"/>
            <w:szCs w:val="25"/>
            <w:bdr w:val="none" w:sz="0" w:space="0" w:color="auto" w:frame="1"/>
          </w:rPr>
          <w:t>歷史文化保育</w:t>
        </w:r>
      </w:hyperlink>
    </w:p>
    <w:p w14:paraId="6A6D14B1" w14:textId="77777777" w:rsidR="00F207A5" w:rsidRPr="00F207A5" w:rsidRDefault="00F207A5" w:rsidP="00F207A5">
      <w:pPr>
        <w:widowControl/>
        <w:shd w:val="clear" w:color="auto" w:fill="FFFFFF"/>
        <w:spacing w:after="300"/>
        <w:jc w:val="both"/>
        <w:textAlignment w:val="baseline"/>
        <w:rPr>
          <w:rFonts w:ascii="Helvetica" w:eastAsia="Times New Roman" w:hAnsi="Helvetica" w:cs="Helvetica"/>
          <w:color w:val="555555"/>
          <w:kern w:val="0"/>
          <w:sz w:val="21"/>
          <w:szCs w:val="21"/>
        </w:rPr>
      </w:pP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東華三院致力保存和推廣本院歷史文化，並於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2010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年成立檔案及歷史文化辦公室。該辦公室負責管理與發展東華三院文物館及東華三</w:t>
      </w:r>
      <w:proofErr w:type="gramStart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院何超蕸</w:t>
      </w:r>
      <w:proofErr w:type="gramEnd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檔案及文物中心，藉推廣文物保育工作及提供文化服務，致力保護、開發及分享東華三院的歷史文化。該辦公室亦定期推出公眾教育項目，包括展覽、講座及文化活動，推動公眾認識東華三院對本港歷史的重要性</w:t>
      </w:r>
      <w:r w:rsidRPr="00F207A5">
        <w:rPr>
          <w:rFonts w:ascii="新細明體" w:eastAsia="新細明體" w:hAnsi="新細明體" w:cs="新細明體"/>
          <w:color w:val="555555"/>
          <w:kern w:val="0"/>
          <w:sz w:val="21"/>
          <w:szCs w:val="21"/>
        </w:rPr>
        <w:t>。</w:t>
      </w:r>
    </w:p>
    <w:p w14:paraId="75BFC16F" w14:textId="77777777" w:rsidR="00F207A5" w:rsidRPr="00F207A5" w:rsidRDefault="00F207A5" w:rsidP="00F207A5">
      <w:pPr>
        <w:widowControl/>
        <w:shd w:val="clear" w:color="auto" w:fill="FFFFFF"/>
        <w:spacing w:after="300"/>
        <w:jc w:val="both"/>
        <w:textAlignment w:val="baseline"/>
        <w:rPr>
          <w:rFonts w:ascii="Helvetica" w:eastAsia="Times New Roman" w:hAnsi="Helvetica" w:cs="Helvetica"/>
          <w:color w:val="555555"/>
          <w:kern w:val="0"/>
          <w:sz w:val="21"/>
          <w:szCs w:val="21"/>
        </w:rPr>
      </w:pPr>
      <w:proofErr w:type="gramStart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此外，</w:t>
      </w:r>
      <w:proofErr w:type="gramEnd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本院管理</w:t>
      </w:r>
      <w:proofErr w:type="gramStart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多所極具</w:t>
      </w:r>
      <w:proofErr w:type="gramEnd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歷史價值的建築物，包括多座被列為法定古蹟的東華三院文物館、大</w:t>
      </w:r>
      <w:proofErr w:type="gramStart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口環東華義莊</w:t>
      </w:r>
      <w:proofErr w:type="gramEnd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、油麻地天</w:t>
      </w:r>
      <w:proofErr w:type="gramStart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后</w:t>
      </w:r>
      <w:proofErr w:type="gramEnd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古廟、政府大球場旁的馬場先難友紀念碑及荷</w:t>
      </w:r>
      <w:proofErr w:type="gramStart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里活道的</w:t>
      </w:r>
      <w:proofErr w:type="gramEnd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文武廟，更適時為建築物安排修復與保養工程，承傳香港歷史文化</w:t>
      </w:r>
      <w:r w:rsidRPr="00F207A5">
        <w:rPr>
          <w:rFonts w:ascii="新細明體" w:eastAsia="新細明體" w:hAnsi="新細明體" w:cs="新細明體"/>
          <w:color w:val="555555"/>
          <w:kern w:val="0"/>
          <w:sz w:val="21"/>
          <w:szCs w:val="21"/>
        </w:rPr>
        <w:t>。</w:t>
      </w:r>
    </w:p>
    <w:p w14:paraId="586CB82F" w14:textId="77777777" w:rsidR="00F207A5" w:rsidRPr="00F207A5" w:rsidRDefault="00F207A5" w:rsidP="00F207A5">
      <w:pPr>
        <w:widowControl/>
        <w:shd w:val="clear" w:color="auto" w:fill="FFFFFF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color w:val="555555"/>
          <w:kern w:val="0"/>
          <w:sz w:val="29"/>
          <w:szCs w:val="29"/>
        </w:rPr>
      </w:pPr>
      <w:hyperlink r:id="rId14" w:history="1">
        <w:r w:rsidRPr="00F207A5">
          <w:rPr>
            <w:rFonts w:ascii="新細明體" w:eastAsia="新細明體" w:hAnsi="新細明體" w:cs="新細明體" w:hint="eastAsia"/>
            <w:b/>
            <w:bCs/>
            <w:color w:val="966B2F"/>
            <w:kern w:val="0"/>
            <w:sz w:val="25"/>
            <w:szCs w:val="25"/>
            <w:bdr w:val="none" w:sz="0" w:space="0" w:color="auto" w:frame="1"/>
          </w:rPr>
          <w:t>機構管理</w:t>
        </w:r>
      </w:hyperlink>
    </w:p>
    <w:p w14:paraId="5DE2BC76" w14:textId="77777777" w:rsidR="00F207A5" w:rsidRPr="00F207A5" w:rsidRDefault="00F207A5" w:rsidP="00F207A5">
      <w:pPr>
        <w:widowControl/>
        <w:shd w:val="clear" w:color="auto" w:fill="FFFFFF"/>
        <w:jc w:val="both"/>
        <w:textAlignment w:val="baseline"/>
        <w:rPr>
          <w:rFonts w:ascii="Helvetica" w:eastAsia="Times New Roman" w:hAnsi="Helvetica" w:cs="Helvetica"/>
          <w:color w:val="555555"/>
          <w:kern w:val="0"/>
          <w:sz w:val="21"/>
          <w:szCs w:val="21"/>
        </w:rPr>
      </w:pP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在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 </w:t>
      </w:r>
      <w:hyperlink r:id="rId15" w:history="1">
        <w:r w:rsidRPr="00F207A5">
          <w:rPr>
            <w:rFonts w:ascii="新細明體" w:eastAsia="新細明體" w:hAnsi="新細明體" w:cs="新細明體" w:hint="eastAsia"/>
            <w:color w:val="966B2F"/>
            <w:kern w:val="0"/>
            <w:sz w:val="21"/>
            <w:szCs w:val="21"/>
            <w:bdr w:val="none" w:sz="0" w:space="0" w:color="auto" w:frame="1"/>
          </w:rPr>
          <w:t>行政架構</w:t>
        </w:r>
      </w:hyperlink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 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上，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 </w:t>
      </w:r>
      <w:hyperlink r:id="rId16" w:history="1">
        <w:r w:rsidRPr="00F207A5">
          <w:rPr>
            <w:rFonts w:ascii="新細明體" w:eastAsia="新細明體" w:hAnsi="新細明體" w:cs="新細明體" w:hint="eastAsia"/>
            <w:color w:val="966B2F"/>
            <w:kern w:val="0"/>
            <w:sz w:val="21"/>
            <w:szCs w:val="21"/>
            <w:bdr w:val="none" w:sz="0" w:space="0" w:color="auto" w:frame="1"/>
          </w:rPr>
          <w:t>董事局</w:t>
        </w:r>
        <w:r w:rsidRPr="00F207A5">
          <w:rPr>
            <w:rFonts w:ascii="Cambria" w:eastAsia="Times New Roman" w:hAnsi="Cambria" w:cs="Cambria"/>
            <w:color w:val="966B2F"/>
            <w:kern w:val="0"/>
            <w:sz w:val="21"/>
            <w:szCs w:val="21"/>
            <w:bdr w:val="none" w:sz="0" w:space="0" w:color="auto" w:frame="1"/>
          </w:rPr>
          <w:t> </w:t>
        </w:r>
      </w:hyperlink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是制訂政策的最高中央組織，轄下設多個委員會監察各方面的工作或服務。行政總部設有十一科，分別為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 </w:t>
      </w:r>
      <w:hyperlink r:id="rId17" w:history="1">
        <w:r w:rsidRPr="00F207A5">
          <w:rPr>
            <w:rFonts w:ascii="新細明體" w:eastAsia="新細明體" w:hAnsi="新細明體" w:cs="新細明體" w:hint="eastAsia"/>
            <w:color w:val="966B2F"/>
            <w:kern w:val="0"/>
            <w:sz w:val="21"/>
            <w:szCs w:val="21"/>
            <w:bdr w:val="none" w:sz="0" w:space="0" w:color="auto" w:frame="1"/>
          </w:rPr>
          <w:t>醫務科</w:t>
        </w:r>
      </w:hyperlink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、</w:t>
      </w:r>
      <w:hyperlink r:id="rId18" w:history="1">
        <w:r w:rsidRPr="00F207A5">
          <w:rPr>
            <w:rFonts w:ascii="新細明體" w:eastAsia="新細明體" w:hAnsi="新細明體" w:cs="新細明體" w:hint="eastAsia"/>
            <w:color w:val="966B2F"/>
            <w:kern w:val="0"/>
            <w:sz w:val="21"/>
            <w:szCs w:val="21"/>
            <w:bdr w:val="none" w:sz="0" w:space="0" w:color="auto" w:frame="1"/>
          </w:rPr>
          <w:t>教育科</w:t>
        </w:r>
      </w:hyperlink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、</w:t>
      </w:r>
      <w:hyperlink r:id="rId19" w:history="1">
        <w:r w:rsidRPr="00F207A5">
          <w:rPr>
            <w:rFonts w:ascii="新細明體" w:eastAsia="新細明體" w:hAnsi="新細明體" w:cs="新細明體" w:hint="eastAsia"/>
            <w:color w:val="966B2F"/>
            <w:kern w:val="0"/>
            <w:sz w:val="21"/>
            <w:szCs w:val="21"/>
            <w:bdr w:val="none" w:sz="0" w:space="0" w:color="auto" w:frame="1"/>
          </w:rPr>
          <w:t>社會服務科</w:t>
        </w:r>
      </w:hyperlink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、</w:t>
      </w:r>
      <w:hyperlink r:id="rId20" w:history="1">
        <w:r w:rsidRPr="00F207A5">
          <w:rPr>
            <w:rFonts w:ascii="新細明體" w:eastAsia="新細明體" w:hAnsi="新細明體" w:cs="新細明體" w:hint="eastAsia"/>
            <w:color w:val="966B2F"/>
            <w:kern w:val="0"/>
            <w:sz w:val="21"/>
            <w:szCs w:val="21"/>
            <w:bdr w:val="none" w:sz="0" w:space="0" w:color="auto" w:frame="1"/>
          </w:rPr>
          <w:t>物業科</w:t>
        </w:r>
      </w:hyperlink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、</w:t>
      </w:r>
      <w:hyperlink r:id="rId21" w:history="1">
        <w:r w:rsidRPr="00F207A5">
          <w:rPr>
            <w:rFonts w:ascii="新細明體" w:eastAsia="新細明體" w:hAnsi="新細明體" w:cs="新細明體" w:hint="eastAsia"/>
            <w:color w:val="966B2F"/>
            <w:kern w:val="0"/>
            <w:sz w:val="21"/>
            <w:szCs w:val="21"/>
            <w:bdr w:val="none" w:sz="0" w:space="0" w:color="auto" w:frame="1"/>
          </w:rPr>
          <w:t>籌募科</w:t>
        </w:r>
      </w:hyperlink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、</w:t>
      </w:r>
      <w:hyperlink r:id="rId22" w:history="1">
        <w:r w:rsidRPr="00F207A5">
          <w:rPr>
            <w:rFonts w:ascii="新細明體" w:eastAsia="新細明體" w:hAnsi="新細明體" w:cs="新細明體" w:hint="eastAsia"/>
            <w:color w:val="966B2F"/>
            <w:kern w:val="0"/>
            <w:sz w:val="21"/>
            <w:szCs w:val="21"/>
            <w:bdr w:val="none" w:sz="0" w:space="0" w:color="auto" w:frame="1"/>
          </w:rPr>
          <w:t>董事局及機構行政科</w:t>
        </w:r>
      </w:hyperlink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、</w:t>
      </w:r>
      <w:hyperlink r:id="rId23" w:history="1">
        <w:r w:rsidRPr="00F207A5">
          <w:rPr>
            <w:rFonts w:ascii="新細明體" w:eastAsia="新細明體" w:hAnsi="新細明體" w:cs="新細明體" w:hint="eastAsia"/>
            <w:color w:val="966B2F"/>
            <w:kern w:val="0"/>
            <w:sz w:val="21"/>
            <w:szCs w:val="21"/>
            <w:bdr w:val="none" w:sz="0" w:space="0" w:color="auto" w:frame="1"/>
          </w:rPr>
          <w:t>財務及採購科</w:t>
        </w:r>
      </w:hyperlink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、</w:t>
      </w:r>
      <w:hyperlink r:id="rId24" w:history="1">
        <w:r w:rsidRPr="00F207A5">
          <w:rPr>
            <w:rFonts w:ascii="新細明體" w:eastAsia="新細明體" w:hAnsi="新細明體" w:cs="新細明體" w:hint="eastAsia"/>
            <w:color w:val="966B2F"/>
            <w:kern w:val="0"/>
            <w:sz w:val="21"/>
            <w:szCs w:val="21"/>
            <w:bdr w:val="none" w:sz="0" w:space="0" w:color="auto" w:frame="1"/>
          </w:rPr>
          <w:t>人力資源科</w:t>
        </w:r>
      </w:hyperlink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、</w:t>
      </w:r>
      <w:hyperlink r:id="rId25" w:history="1">
        <w:r w:rsidRPr="00F207A5">
          <w:rPr>
            <w:rFonts w:ascii="新細明體" w:eastAsia="新細明體" w:hAnsi="新細明體" w:cs="新細明體" w:hint="eastAsia"/>
            <w:color w:val="966B2F"/>
            <w:kern w:val="0"/>
            <w:sz w:val="21"/>
            <w:szCs w:val="21"/>
            <w:bdr w:val="none" w:sz="0" w:space="0" w:color="auto" w:frame="1"/>
          </w:rPr>
          <w:t>資訊科技科</w:t>
        </w:r>
        <w:r w:rsidRPr="00F207A5">
          <w:rPr>
            <w:rFonts w:ascii="Cambria" w:eastAsia="Times New Roman" w:hAnsi="Cambria" w:cs="Cambria"/>
            <w:color w:val="966B2F"/>
            <w:kern w:val="0"/>
            <w:sz w:val="21"/>
            <w:szCs w:val="21"/>
            <w:bdr w:val="none" w:sz="0" w:space="0" w:color="auto" w:frame="1"/>
          </w:rPr>
          <w:t> </w:t>
        </w:r>
      </w:hyperlink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、</w:t>
      </w:r>
      <w:hyperlink r:id="rId26" w:history="1">
        <w:r w:rsidRPr="00F207A5">
          <w:rPr>
            <w:rFonts w:ascii="新細明體" w:eastAsia="新細明體" w:hAnsi="新細明體" w:cs="新細明體" w:hint="eastAsia"/>
            <w:color w:val="966B2F"/>
            <w:kern w:val="0"/>
            <w:sz w:val="21"/>
            <w:szCs w:val="21"/>
            <w:bdr w:val="none" w:sz="0" w:space="0" w:color="auto" w:frame="1"/>
          </w:rPr>
          <w:t>企業傳訊科</w:t>
        </w:r>
      </w:hyperlink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及</w:t>
      </w:r>
      <w:hyperlink r:id="rId27" w:history="1">
        <w:r w:rsidRPr="00F207A5">
          <w:rPr>
            <w:rFonts w:ascii="新細明體" w:eastAsia="新細明體" w:hAnsi="新細明體" w:cs="新細明體" w:hint="eastAsia"/>
            <w:color w:val="966B2F"/>
            <w:kern w:val="0"/>
            <w:sz w:val="21"/>
            <w:szCs w:val="21"/>
            <w:bdr w:val="none" w:sz="0" w:space="0" w:color="auto" w:frame="1"/>
          </w:rPr>
          <w:t>稽核科</w:t>
        </w:r>
      </w:hyperlink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，另有</w:t>
      </w:r>
      <w:hyperlink r:id="rId28" w:history="1">
        <w:r w:rsidRPr="00F207A5">
          <w:rPr>
            <w:rFonts w:ascii="新細明體" w:eastAsia="新細明體" w:hAnsi="新細明體" w:cs="新細明體" w:hint="eastAsia"/>
            <w:color w:val="966B2F"/>
            <w:kern w:val="0"/>
            <w:sz w:val="21"/>
            <w:szCs w:val="21"/>
            <w:bdr w:val="none" w:sz="0" w:space="0" w:color="auto" w:frame="1"/>
          </w:rPr>
          <w:t>檔案及歷史文化辦公室</w:t>
        </w:r>
      </w:hyperlink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及公共服務部，均向行政總監負責</w:t>
      </w:r>
      <w:r w:rsidRPr="00F207A5">
        <w:rPr>
          <w:rFonts w:ascii="新細明體" w:eastAsia="新細明體" w:hAnsi="新細明體" w:cs="新細明體"/>
          <w:color w:val="555555"/>
          <w:kern w:val="0"/>
          <w:sz w:val="21"/>
          <w:szCs w:val="21"/>
        </w:rPr>
        <w:t>。</w:t>
      </w:r>
    </w:p>
    <w:p w14:paraId="5E64EF74" w14:textId="77777777" w:rsidR="00F207A5" w:rsidRPr="00F207A5" w:rsidRDefault="00F207A5" w:rsidP="00F207A5">
      <w:pPr>
        <w:widowControl/>
        <w:shd w:val="clear" w:color="auto" w:fill="FFFFFF"/>
        <w:spacing w:after="300"/>
        <w:jc w:val="both"/>
        <w:textAlignment w:val="baseline"/>
        <w:rPr>
          <w:rFonts w:ascii="Helvetica" w:eastAsia="Times New Roman" w:hAnsi="Helvetica" w:cs="Helvetica"/>
          <w:color w:val="555555"/>
          <w:kern w:val="0"/>
          <w:sz w:val="21"/>
          <w:szCs w:val="21"/>
        </w:rPr>
      </w:pP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東華三院的歷任董事局每年一任，成員不支取任何酬金，他們將個人的社會網絡、人脈關係、社會經驗引進東華三院，動員不同界別和階層人士的參與，一方面推動籌款，促進院</w:t>
      </w:r>
      <w:proofErr w:type="gramStart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務</w:t>
      </w:r>
      <w:proofErr w:type="gramEnd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發展；另一方面為香港建立社會資本，孕育和諧、互相扶持的社會關係</w:t>
      </w:r>
      <w:r w:rsidRPr="00F207A5">
        <w:rPr>
          <w:rFonts w:ascii="新細明體" w:eastAsia="新細明體" w:hAnsi="新細明體" w:cs="新細明體"/>
          <w:color w:val="555555"/>
          <w:kern w:val="0"/>
          <w:sz w:val="21"/>
          <w:szCs w:val="21"/>
        </w:rPr>
        <w:t>。</w:t>
      </w:r>
    </w:p>
    <w:p w14:paraId="61432741" w14:textId="77777777" w:rsidR="00F207A5" w:rsidRPr="00F207A5" w:rsidRDefault="00F207A5" w:rsidP="00F207A5">
      <w:pPr>
        <w:widowControl/>
        <w:shd w:val="clear" w:color="auto" w:fill="FFFFFF"/>
        <w:spacing w:after="300"/>
        <w:jc w:val="both"/>
        <w:textAlignment w:val="baseline"/>
        <w:rPr>
          <w:rFonts w:ascii="Helvetica" w:eastAsia="Times New Roman" w:hAnsi="Helvetica" w:cs="Helvetica"/>
          <w:color w:val="555555"/>
          <w:kern w:val="0"/>
          <w:sz w:val="21"/>
          <w:szCs w:val="21"/>
        </w:rPr>
      </w:pP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要配合服務發展的急速步伐，東華三院講求一個穩健而開放的管治架構，期望達至善用政府和社會資源的理想。為此，董事局將繼續致力提升東華三院的企業管治水平，增加透明度</w:t>
      </w:r>
      <w:proofErr w:type="gramStart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及問責性</w:t>
      </w:r>
      <w:proofErr w:type="gramEnd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，吸引</w:t>
      </w:r>
      <w:proofErr w:type="gramStart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更多善長</w:t>
      </w:r>
      <w:proofErr w:type="gramEnd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的支持</w:t>
      </w:r>
      <w:r w:rsidRPr="00F207A5">
        <w:rPr>
          <w:rFonts w:ascii="新細明體" w:eastAsia="新細明體" w:hAnsi="新細明體" w:cs="新細明體"/>
          <w:color w:val="555555"/>
          <w:kern w:val="0"/>
          <w:sz w:val="21"/>
          <w:szCs w:val="21"/>
        </w:rPr>
        <w:t>。</w:t>
      </w:r>
    </w:p>
    <w:p w14:paraId="6845DAF4" w14:textId="77777777" w:rsidR="00F207A5" w:rsidRPr="00F207A5" w:rsidRDefault="00F207A5" w:rsidP="00F207A5">
      <w:pPr>
        <w:widowControl/>
        <w:shd w:val="clear" w:color="auto" w:fill="FFFFFF"/>
        <w:jc w:val="both"/>
        <w:textAlignment w:val="baseline"/>
        <w:rPr>
          <w:rFonts w:ascii="Helvetica" w:eastAsia="Times New Roman" w:hAnsi="Helvetica" w:cs="Helvetica"/>
          <w:color w:val="555555"/>
          <w:kern w:val="0"/>
          <w:sz w:val="21"/>
          <w:szCs w:val="21"/>
        </w:rPr>
      </w:pP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除接受政府資助外，東華三院每年都舉辦多項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 </w:t>
      </w:r>
      <w:hyperlink r:id="rId29" w:history="1">
        <w:r w:rsidRPr="00F207A5">
          <w:rPr>
            <w:rFonts w:ascii="新細明體" w:eastAsia="新細明體" w:hAnsi="新細明體" w:cs="新細明體" w:hint="eastAsia"/>
            <w:color w:val="966B2F"/>
            <w:kern w:val="0"/>
            <w:sz w:val="21"/>
            <w:szCs w:val="21"/>
            <w:bdr w:val="none" w:sz="0" w:space="0" w:color="auto" w:frame="1"/>
          </w:rPr>
          <w:t>籌募活動</w:t>
        </w:r>
        <w:r w:rsidRPr="00F207A5">
          <w:rPr>
            <w:rFonts w:ascii="Cambria" w:eastAsia="Times New Roman" w:hAnsi="Cambria" w:cs="Cambria"/>
            <w:color w:val="966B2F"/>
            <w:kern w:val="0"/>
            <w:sz w:val="21"/>
            <w:szCs w:val="21"/>
            <w:bdr w:val="none" w:sz="0" w:space="0" w:color="auto" w:frame="1"/>
          </w:rPr>
          <w:t> </w:t>
        </w:r>
      </w:hyperlink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籌集善款，作為免費醫療服務經費及各類急需服務的擴展費用。所有籌募活動及行政支援費用分別由董事局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/</w:t>
      </w:r>
      <w:proofErr w:type="gramStart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冠明贊助人</w:t>
      </w:r>
      <w:proofErr w:type="gramEnd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及營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lastRenderedPageBreak/>
        <w:t>運收入全數支付。本院從不在公眾善款中扣除活動及行政費用，大眾捐款均悉數撥用於本院的服務，</w:t>
      </w:r>
      <w:proofErr w:type="gramStart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惠澤社</w:t>
      </w:r>
      <w:proofErr w:type="gramEnd"/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群。展望未來，東華三院將繼續緊隨時代步伐，為大家提供各類所需的服務</w:t>
      </w:r>
      <w:r w:rsidRPr="00F207A5">
        <w:rPr>
          <w:rFonts w:ascii="新細明體" w:eastAsia="新細明體" w:hAnsi="新細明體" w:cs="新細明體"/>
          <w:color w:val="555555"/>
          <w:kern w:val="0"/>
          <w:sz w:val="21"/>
          <w:szCs w:val="21"/>
        </w:rPr>
        <w:t>。</w:t>
      </w:r>
    </w:p>
    <w:p w14:paraId="2243C77C" w14:textId="0908EA17" w:rsidR="0072740A" w:rsidRPr="005230B7" w:rsidRDefault="00F207A5" w:rsidP="005230B7">
      <w:pPr>
        <w:widowControl/>
        <w:shd w:val="clear" w:color="auto" w:fill="FFFFFF"/>
        <w:jc w:val="both"/>
        <w:textAlignment w:val="baseline"/>
        <w:rPr>
          <w:rFonts w:ascii="Helvetica" w:hAnsi="Helvetica" w:cs="Helvetica" w:hint="eastAsia"/>
          <w:color w:val="555555"/>
          <w:kern w:val="0"/>
          <w:sz w:val="21"/>
          <w:szCs w:val="21"/>
        </w:rPr>
      </w:pP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東華三院需要大家的支持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 xml:space="preserve">! 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如果對東華三院的服務有任何查詢，歡迎與我們聯絡</w:t>
      </w:r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 xml:space="preserve"> (</w:t>
      </w:r>
      <w:r w:rsidRPr="00F207A5">
        <w:rPr>
          <w:rFonts w:ascii="新細明體" w:eastAsia="新細明體" w:hAnsi="新細明體" w:cs="新細明體" w:hint="eastAsia"/>
          <w:color w:val="555555"/>
          <w:kern w:val="0"/>
          <w:sz w:val="21"/>
          <w:szCs w:val="21"/>
        </w:rPr>
        <w:t>電郵：</w:t>
      </w:r>
      <w:hyperlink r:id="rId30" w:history="1">
        <w:r w:rsidRPr="00F207A5">
          <w:rPr>
            <w:rFonts w:ascii="inherit" w:eastAsia="Times New Roman" w:hAnsi="inherit" w:cs="Helvetica"/>
            <w:color w:val="966B2F"/>
            <w:kern w:val="0"/>
            <w:sz w:val="21"/>
            <w:szCs w:val="21"/>
            <w:bdr w:val="none" w:sz="0" w:space="0" w:color="auto" w:frame="1"/>
          </w:rPr>
          <w:t>enquiry@tungwah.org.hk</w:t>
        </w:r>
      </w:hyperlink>
      <w:r w:rsidRPr="00F207A5">
        <w:rPr>
          <w:rFonts w:ascii="Helvetica" w:eastAsia="Times New Roman" w:hAnsi="Helvetica" w:cs="Helvetica"/>
          <w:color w:val="555555"/>
          <w:kern w:val="0"/>
          <w:sz w:val="21"/>
          <w:szCs w:val="21"/>
        </w:rPr>
        <w:t>)</w:t>
      </w:r>
      <w:r w:rsidRPr="00F207A5">
        <w:rPr>
          <w:rFonts w:ascii="新細明體" w:eastAsia="新細明體" w:hAnsi="新細明體" w:cs="新細明體"/>
          <w:color w:val="555555"/>
          <w:kern w:val="0"/>
          <w:sz w:val="21"/>
          <w:szCs w:val="21"/>
        </w:rPr>
        <w:t>。</w:t>
      </w:r>
    </w:p>
    <w:sectPr w:rsidR="0072740A" w:rsidRPr="005230B7" w:rsidSect="00F207A5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0A"/>
    <w:rsid w:val="005230B7"/>
    <w:rsid w:val="0072740A"/>
    <w:rsid w:val="00AE7ACC"/>
    <w:rsid w:val="00F2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37532"/>
  <w15:chartTrackingRefBased/>
  <w15:docId w15:val="{EAAD8379-732B-4E70-99C0-F5222DD8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F207A5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274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F207A5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F207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ngwah.org.hk/education" TargetMode="External"/><Relationship Id="rId13" Type="http://schemas.openxmlformats.org/officeDocument/2006/relationships/hyperlink" Target="https://www.tungwah.org.hk/heritage/heritage-landing" TargetMode="External"/><Relationship Id="rId18" Type="http://schemas.openxmlformats.org/officeDocument/2006/relationships/hyperlink" Target="https://www.tungwah.org.hk/about/corporate-governance/structure/education-division/" TargetMode="External"/><Relationship Id="rId26" Type="http://schemas.openxmlformats.org/officeDocument/2006/relationships/hyperlink" Target="https://www.tungwah.org.hk/about/corporate-governance/structure/corporate-communications-division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ungwah.org.hk/about/corporate-governance/structure/fund-raising-division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tungwah.org.hk/traditional/%e6%9c%8d%e5%8b%99%e7%b0%a1%e4%bb%8b" TargetMode="External"/><Relationship Id="rId17" Type="http://schemas.openxmlformats.org/officeDocument/2006/relationships/hyperlink" Target="https://www.tungwah.org.hk/about/corporate-governance/structure/medical-division/" TargetMode="External"/><Relationship Id="rId25" Type="http://schemas.openxmlformats.org/officeDocument/2006/relationships/hyperlink" Target="https://www.tungwah.org.hk/about/corporate-governance/structure/information-technology-divisio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ungwah.org.hk/about/corporate-governance/board-of-directors/" TargetMode="External"/><Relationship Id="rId20" Type="http://schemas.openxmlformats.org/officeDocument/2006/relationships/hyperlink" Target="https://www.tungwah.org.hk/about/corporate-governance/structure/property-division/" TargetMode="External"/><Relationship Id="rId29" Type="http://schemas.openxmlformats.org/officeDocument/2006/relationships/hyperlink" Target="https://www.tungwah.org.hk/fund-rais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ungwah.org.hk/medical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www.tungwah.org.hk/about/corporate-governance/structure/human-resources-division-2/ch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tungwah.org.hk/about/our-origin" TargetMode="External"/><Relationship Id="rId15" Type="http://schemas.openxmlformats.org/officeDocument/2006/relationships/hyperlink" Target="https://www.tungwah.org.hk/about/corporate-governance/structure/" TargetMode="External"/><Relationship Id="rId23" Type="http://schemas.openxmlformats.org/officeDocument/2006/relationships/hyperlink" Target="https://www.tungwah.org.hk/about/corporate-governance/structure/finance-supplies-division/" TargetMode="External"/><Relationship Id="rId28" Type="http://schemas.openxmlformats.org/officeDocument/2006/relationships/hyperlink" Target="https://www.tungwah.org.hk/about/corporate-governance/structure/rho/" TargetMode="External"/><Relationship Id="rId10" Type="http://schemas.openxmlformats.org/officeDocument/2006/relationships/hyperlink" Target="https://www.tungwah.org.hk/community" TargetMode="External"/><Relationship Id="rId19" Type="http://schemas.openxmlformats.org/officeDocument/2006/relationships/hyperlink" Target="https://www.tungwah.org.hk/about/corporate-governance/structure/community-services-division/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hyperlink" Target="https://www.tungwah.org.hk/about/corporate-governance/structure/" TargetMode="External"/><Relationship Id="rId22" Type="http://schemas.openxmlformats.org/officeDocument/2006/relationships/hyperlink" Target="https://www.tungwah.org.hk/about/corporate-governance/structure/administration-division/" TargetMode="External"/><Relationship Id="rId27" Type="http://schemas.openxmlformats.org/officeDocument/2006/relationships/hyperlink" Target="https://www.tungwah.org.hk/about/corporate-governance/structure/audit-division/" TargetMode="External"/><Relationship Id="rId30" Type="http://schemas.openxmlformats.org/officeDocument/2006/relationships/hyperlink" Target="mailto:enquiry@tungwah.org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Ng</dc:creator>
  <cp:keywords/>
  <dc:description/>
  <cp:lastModifiedBy>Ivan Ng</cp:lastModifiedBy>
  <cp:revision>1</cp:revision>
  <dcterms:created xsi:type="dcterms:W3CDTF">2022-08-12T14:22:00Z</dcterms:created>
  <dcterms:modified xsi:type="dcterms:W3CDTF">2022-08-12T14:34:00Z</dcterms:modified>
</cp:coreProperties>
</file>