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D40B" w14:textId="343C92FE" w:rsidR="00BC59EB" w:rsidRPr="0006017A" w:rsidRDefault="00BC59EB" w:rsidP="00433BCE">
      <w:pPr>
        <w:widowControl/>
        <w:tabs>
          <w:tab w:val="left" w:pos="720"/>
        </w:tabs>
        <w:autoSpaceDE w:val="0"/>
        <w:autoSpaceDN w:val="0"/>
        <w:jc w:val="center"/>
        <w:textAlignment w:val="bottom"/>
        <w:rPr>
          <w:rFonts w:ascii="新細明體" w:eastAsia="新細明體" w:hAnsi="新細明體"/>
          <w:b/>
          <w:sz w:val="24"/>
          <w:szCs w:val="24"/>
        </w:rPr>
      </w:pPr>
      <w:r w:rsidRPr="0006017A">
        <w:rPr>
          <w:rFonts w:ascii="新細明體" w:eastAsia="新細明體" w:hAnsi="新細明體" w:hint="eastAsia"/>
          <w:b/>
          <w:sz w:val="24"/>
          <w:szCs w:val="24"/>
        </w:rPr>
        <w:t>第</w:t>
      </w:r>
      <w:r w:rsidRPr="0006017A">
        <w:rPr>
          <w:rFonts w:ascii="新細明體" w:eastAsia="新細明體" w:hAnsi="新細明體"/>
          <w:b/>
          <w:sz w:val="24"/>
          <w:szCs w:val="24"/>
        </w:rPr>
        <w:t xml:space="preserve"> </w:t>
      </w:r>
      <w:r w:rsidR="000B731C" w:rsidRPr="0006017A">
        <w:rPr>
          <w:rFonts w:ascii="新細明體" w:eastAsia="新細明體" w:hAnsi="新細明體" w:hint="eastAsia"/>
          <w:b/>
          <w:sz w:val="24"/>
          <w:szCs w:val="24"/>
        </w:rPr>
        <w:t>三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 xml:space="preserve"> 十</w:t>
      </w:r>
      <w:r w:rsidR="000B731C" w:rsidRPr="0006017A">
        <w:rPr>
          <w:rFonts w:ascii="新細明體" w:eastAsia="新細明體" w:hAnsi="新細明體" w:hint="eastAsia"/>
          <w:b/>
          <w:sz w:val="24"/>
          <w:szCs w:val="24"/>
        </w:rPr>
        <w:t xml:space="preserve"> </w:t>
      </w:r>
      <w:r w:rsidR="005D7A6F">
        <w:rPr>
          <w:rFonts w:ascii="新細明體" w:eastAsia="新細明體" w:hAnsi="新細明體" w:hint="eastAsia"/>
          <w:b/>
          <w:sz w:val="24"/>
          <w:szCs w:val="24"/>
        </w:rPr>
        <w:t>五</w:t>
      </w:r>
      <w:r w:rsidR="00E138AD">
        <w:rPr>
          <w:rFonts w:ascii="新細明體" w:eastAsia="新細明體" w:hAnsi="新細明體" w:hint="eastAsia"/>
          <w:b/>
          <w:sz w:val="24"/>
          <w:szCs w:val="24"/>
        </w:rPr>
        <w:t xml:space="preserve"> 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>屆</w:t>
      </w:r>
      <w:r w:rsidRPr="0006017A">
        <w:rPr>
          <w:rFonts w:ascii="新細明體" w:eastAsia="新細明體" w:hAnsi="新細明體"/>
          <w:b/>
          <w:sz w:val="24"/>
          <w:szCs w:val="24"/>
        </w:rPr>
        <w:t xml:space="preserve"> 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>社 工 機 構 籃 球 賽</w:t>
      </w:r>
    </w:p>
    <w:p w14:paraId="3200A208" w14:textId="77777777" w:rsidR="00BC59EB" w:rsidRPr="0006017A" w:rsidRDefault="00BC59EB" w:rsidP="00433BCE">
      <w:pPr>
        <w:jc w:val="center"/>
        <w:rPr>
          <w:rFonts w:ascii="新細明體" w:eastAsia="新細明體" w:hAnsi="新細明體"/>
          <w:b/>
          <w:sz w:val="24"/>
          <w:szCs w:val="24"/>
        </w:rPr>
      </w:pPr>
      <w:r w:rsidRPr="0006017A">
        <w:rPr>
          <w:rFonts w:ascii="新細明體" w:eastAsia="新細明體" w:hAnsi="新細明體" w:hint="eastAsia"/>
          <w:b/>
          <w:sz w:val="24"/>
          <w:szCs w:val="24"/>
        </w:rPr>
        <w:t>【許晉奎盾】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sym w:font="Marlett" w:char="F069"/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>【許晉奎碟】</w:t>
      </w:r>
      <w:r w:rsidR="009471E1" w:rsidRPr="0006017A">
        <w:rPr>
          <w:rFonts w:ascii="新細明體" w:eastAsia="新細明體" w:hAnsi="新細明體" w:hint="eastAsia"/>
          <w:b/>
          <w:sz w:val="24"/>
          <w:szCs w:val="24"/>
        </w:rPr>
        <w:sym w:font="Marlett" w:char="F069"/>
      </w:r>
      <w:r w:rsidR="009471E1" w:rsidRPr="0006017A">
        <w:rPr>
          <w:rFonts w:ascii="新細明體" w:eastAsia="新細明體" w:hAnsi="新細明體" w:hint="eastAsia"/>
          <w:b/>
          <w:sz w:val="24"/>
          <w:szCs w:val="24"/>
        </w:rPr>
        <w:t>【許晉奎碗】</w:t>
      </w:r>
    </w:p>
    <w:p w14:paraId="5D54E64B" w14:textId="51D6057D" w:rsidR="00BC59EB" w:rsidRPr="0006017A" w:rsidRDefault="00BC59EB" w:rsidP="00433BCE">
      <w:pPr>
        <w:widowControl/>
        <w:tabs>
          <w:tab w:val="left" w:pos="720"/>
          <w:tab w:val="left" w:pos="900"/>
        </w:tabs>
        <w:autoSpaceDE w:val="0"/>
        <w:autoSpaceDN w:val="0"/>
        <w:jc w:val="center"/>
        <w:textAlignment w:val="bottom"/>
        <w:rPr>
          <w:rFonts w:ascii="新細明體" w:eastAsia="新細明體" w:hAnsi="新細明體"/>
          <w:b/>
          <w:sz w:val="24"/>
          <w:szCs w:val="24"/>
        </w:rPr>
      </w:pPr>
      <w:r w:rsidRPr="0006017A">
        <w:rPr>
          <w:rFonts w:ascii="新細明體" w:eastAsia="新細明體" w:hAnsi="新細明體" w:hint="eastAsia"/>
          <w:b/>
          <w:sz w:val="24"/>
          <w:szCs w:val="24"/>
        </w:rPr>
        <w:t>（</w:t>
      </w:r>
      <w:r w:rsidR="00536E30">
        <w:rPr>
          <w:rFonts w:ascii="新細明體" w:eastAsia="新細明體" w:hAnsi="新細明體" w:hint="eastAsia"/>
          <w:b/>
          <w:sz w:val="24"/>
          <w:szCs w:val="24"/>
        </w:rPr>
        <w:t>202</w:t>
      </w:r>
      <w:r w:rsidR="005D7A6F">
        <w:rPr>
          <w:rFonts w:ascii="新細明體" w:eastAsia="新細明體" w:hAnsi="新細明體" w:hint="eastAsia"/>
          <w:b/>
          <w:sz w:val="24"/>
          <w:szCs w:val="24"/>
        </w:rPr>
        <w:t xml:space="preserve">5 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 xml:space="preserve">/ </w:t>
      </w:r>
      <w:r w:rsidR="00536E30">
        <w:rPr>
          <w:rFonts w:ascii="新細明體" w:eastAsia="新細明體" w:hAnsi="新細明體" w:hint="eastAsia"/>
          <w:b/>
          <w:sz w:val="24"/>
          <w:szCs w:val="24"/>
        </w:rPr>
        <w:t>202</w:t>
      </w:r>
      <w:r w:rsidR="005D7A6F">
        <w:rPr>
          <w:rFonts w:ascii="新細明體" w:eastAsia="新細明體" w:hAnsi="新細明體" w:hint="eastAsia"/>
          <w:b/>
          <w:sz w:val="24"/>
          <w:szCs w:val="24"/>
        </w:rPr>
        <w:t>6</w:t>
      </w:r>
      <w:r w:rsidRPr="0006017A">
        <w:rPr>
          <w:rFonts w:ascii="新細明體" w:eastAsia="新細明體" w:hAnsi="新細明體" w:hint="eastAsia"/>
          <w:b/>
          <w:sz w:val="24"/>
          <w:szCs w:val="24"/>
        </w:rPr>
        <w:t>）</w:t>
      </w:r>
    </w:p>
    <w:p w14:paraId="1D13BFD6" w14:textId="77777777" w:rsidR="00BC59EB" w:rsidRPr="0006017A" w:rsidRDefault="00BC59EB" w:rsidP="00433BCE">
      <w:pPr>
        <w:widowControl/>
        <w:tabs>
          <w:tab w:val="left" w:pos="720"/>
        </w:tabs>
        <w:autoSpaceDE w:val="0"/>
        <w:autoSpaceDN w:val="0"/>
        <w:jc w:val="both"/>
        <w:textAlignment w:val="bottom"/>
        <w:rPr>
          <w:rFonts w:ascii="新細明體" w:eastAsia="新細明體" w:hAnsi="新細明體"/>
          <w:b/>
          <w:sz w:val="24"/>
          <w:szCs w:val="24"/>
          <w:u w:val="single"/>
        </w:rPr>
      </w:pPr>
    </w:p>
    <w:p w14:paraId="19B3407F" w14:textId="77777777" w:rsidR="00BC59EB" w:rsidRPr="0006017A" w:rsidRDefault="00BC59EB" w:rsidP="00433BCE">
      <w:pPr>
        <w:widowControl/>
        <w:tabs>
          <w:tab w:val="left" w:pos="720"/>
        </w:tabs>
        <w:autoSpaceDE w:val="0"/>
        <w:autoSpaceDN w:val="0"/>
        <w:jc w:val="center"/>
        <w:textAlignment w:val="bottom"/>
        <w:rPr>
          <w:rFonts w:ascii="新細明體" w:eastAsia="新細明體" w:hAnsi="新細明體"/>
          <w:b/>
          <w:sz w:val="24"/>
          <w:szCs w:val="24"/>
          <w:u w:val="single"/>
        </w:rPr>
      </w:pPr>
      <w:r w:rsidRPr="0006017A">
        <w:rPr>
          <w:rFonts w:ascii="新細明體" w:eastAsia="新細明體" w:hAnsi="新細明體" w:hint="eastAsia"/>
          <w:b/>
          <w:sz w:val="24"/>
          <w:szCs w:val="24"/>
          <w:u w:val="single"/>
        </w:rPr>
        <w:t>賽事章則及規例</w:t>
      </w:r>
    </w:p>
    <w:p w14:paraId="0CBE141E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目的：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藉著籃球比賽以加強各社工機構的同工互相認識及交流，於切磋球技之餘亦同時提供一項有益身心的體育活動。</w:t>
      </w:r>
    </w:p>
    <w:p w14:paraId="73167D6A" w14:textId="6CCB0F29" w:rsidR="00433BCE" w:rsidRPr="005D06BB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賽期及時間：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由</w:t>
      </w:r>
      <w:r w:rsidR="00851C8C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20</w:t>
      </w:r>
      <w:r w:rsidR="00536E30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2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5</w:t>
      </w:r>
      <w:r w:rsidR="00851C8C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年11</w:t>
      </w:r>
      <w:r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月至</w:t>
      </w:r>
      <w:r w:rsidR="00851C8C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202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6</w:t>
      </w:r>
      <w:r w:rsidR="00851C8C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年</w:t>
      </w:r>
      <w:r w:rsidR="00E138AD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7</w:t>
      </w:r>
      <w:r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月，逢星期六</w:t>
      </w:r>
      <w:r w:rsidR="00536E30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或日</w:t>
      </w:r>
      <w:r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上午九時至下午</w:t>
      </w:r>
      <w:r w:rsidR="00E138AD"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六時</w:t>
      </w:r>
      <w:r w:rsidRPr="009C1ED0">
        <w:rPr>
          <w:rFonts w:ascii="新細明體" w:eastAsia="新細明體" w:hAnsi="新細明體" w:cs="Arial" w:hint="eastAsia"/>
          <w:color w:val="000000"/>
          <w:sz w:val="24"/>
          <w:szCs w:val="24"/>
        </w:rPr>
        <w:t>。</w:t>
      </w:r>
    </w:p>
    <w:p w14:paraId="40D64664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5D06BB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比賽地點：</w:t>
      </w:r>
      <w:r w:rsidRPr="005D06BB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5D06BB">
        <w:rPr>
          <w:rFonts w:ascii="新細明體" w:eastAsia="新細明體" w:hAnsi="新細明體" w:cs="Arial" w:hint="eastAsia"/>
          <w:color w:val="000000"/>
          <w:sz w:val="24"/>
          <w:szCs w:val="24"/>
        </w:rPr>
        <w:t>香港遊樂場協會屬下室內場館</w:t>
      </w:r>
      <w:r w:rsidR="00536E30" w:rsidRPr="005D06BB">
        <w:rPr>
          <w:rFonts w:ascii="新細明體" w:eastAsia="新細明體" w:hAnsi="新細明體" w:cs="Arial" w:hint="eastAsia"/>
          <w:color w:val="000000"/>
          <w:sz w:val="24"/>
          <w:szCs w:val="24"/>
        </w:rPr>
        <w:t>、</w:t>
      </w:r>
      <w:r w:rsidRPr="005D06BB">
        <w:rPr>
          <w:rFonts w:ascii="新細明體" w:eastAsia="新細明體" w:hAnsi="新細明體" w:cs="Arial" w:hint="eastAsia"/>
          <w:color w:val="000000"/>
          <w:sz w:val="24"/>
          <w:szCs w:val="24"/>
        </w:rPr>
        <w:t>康樂及文化事務署室內運動場</w:t>
      </w:r>
      <w:r w:rsidR="00536E30" w:rsidRPr="005D06BB">
        <w:rPr>
          <w:rFonts w:ascii="新細明體" w:eastAsia="新細明體" w:hAnsi="新細明體" w:cs="Arial" w:hint="eastAsia"/>
          <w:color w:val="000000"/>
          <w:sz w:val="24"/>
          <w:szCs w:val="24"/>
        </w:rPr>
        <w:t>和室外運動場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。</w:t>
      </w:r>
    </w:p>
    <w:p w14:paraId="77573FF8" w14:textId="0F7A00B6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參賽資格：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歡迎香港社會服務聯會各機構會員、社會福利署及賽會特別邀請之機構派隊參加。男子組以三十六隊為上限，女子組以十隊為上限。上屆曾參與之機構優先，若超過限額，新加入機構須以抽籤決定。如尚有餘額，同一機構最多可派出兩隊參賽。參賽機構須派出代表出席至少三次籌備委員會會議，其中須出席首次會議及賽事結束後之檢討會。</w:t>
      </w:r>
    </w:p>
    <w:p w14:paraId="693DFE88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 </w:t>
      </w: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參賽隊伍：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賽事分男、女子組進行，每間機構最多可派出男、女子各兩隊參賽，而每名球員只能參加其中一隊。機構可聯合組成聯隊參賽，但同一機構不能與其他機構重覆組成聯隊。</w:t>
      </w:r>
    </w:p>
    <w:p w14:paraId="0A5AA7E9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參賽球員：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參賽球員必須為參賽機構之全職僱員或董事會/執行委員會成員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（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Board  Members）。球員將分甲類（註冊社工）與乙類（機構非社工全職僱員及Board Members）兩種，出場比賽之五位球員必須有兩位或以上是甲類球員。唯邀請隊則不受此限制。球員若於賽事期間轉職另一機構，如能於指定時間登記，亦可代表新機構比賽，但其個人累積得分角逐神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射手獎須重新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計算。</w:t>
      </w:r>
    </w:p>
    <w:p w14:paraId="52E85CD3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參賽組別：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男子組可接受女性員工參加，女子組則只限女性。每一位球員只能替一隊球隊作賽。</w:t>
      </w:r>
    </w:p>
    <w:p w14:paraId="373DF9EC" w14:textId="44FD3891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參賽球員人數：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每隊報名參賽球員名額不得多於</w:t>
      </w:r>
      <w:r w:rsidR="0003126F">
        <w:rPr>
          <w:rFonts w:ascii="新細明體" w:eastAsia="新細明體" w:hAnsi="新細明體" w:cs="Arial" w:hint="eastAsia"/>
          <w:color w:val="000000"/>
          <w:sz w:val="24"/>
          <w:szCs w:val="24"/>
        </w:rPr>
        <w:t>三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十五位</w:t>
      </w:r>
      <w:r w:rsidR="006E1BAF">
        <w:rPr>
          <w:rFonts w:ascii="新細明體" w:eastAsia="新細明體" w:hAnsi="新細明體" w:cs="Arial" w:hint="eastAsia"/>
          <w:color w:val="000000"/>
          <w:sz w:val="24"/>
          <w:szCs w:val="24"/>
        </w:rPr>
        <w:t>（大會只提供二十五</w:t>
      </w:r>
      <w:r w:rsidR="006E1BAF" w:rsidRPr="006E1BAF">
        <w:rPr>
          <w:rFonts w:ascii="新細明體" w:eastAsia="新細明體" w:hAnsi="新細明體" w:cs="Arial" w:hint="eastAsia"/>
          <w:color w:val="000000"/>
          <w:sz w:val="24"/>
          <w:szCs w:val="24"/>
        </w:rPr>
        <w:t>面</w:t>
      </w:r>
      <w:r w:rsidR="006E1BAF">
        <w:rPr>
          <w:rFonts w:ascii="新細明體" w:eastAsia="新細明體" w:hAnsi="新細明體" w:cs="Arial" w:hint="eastAsia"/>
          <w:color w:val="000000"/>
          <w:sz w:val="24"/>
          <w:szCs w:val="24"/>
        </w:rPr>
        <w:t>獎牌，得獎機構可向大會購買額外獎牌）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。</w:t>
      </w:r>
    </w:p>
    <w:p w14:paraId="5FA9A275" w14:textId="464C5DE0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球員登記：</w:t>
      </w: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參賽球隊必須於賽事開始前</w:t>
      </w:r>
      <w:r w:rsidR="00DA6ECF">
        <w:rPr>
          <w:rFonts w:ascii="新細明體" w:eastAsia="新細明體" w:hAnsi="新細明體" w:cs="Arial" w:hint="eastAsia"/>
          <w:color w:val="000000"/>
          <w:sz w:val="24"/>
          <w:szCs w:val="24"/>
        </w:rPr>
        <w:t>的指定時期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向賽會提交參賽球員名單。賽會亦會於初賽中期及複賽前接受球隊更改球員名單，日期由賽會公佈。</w:t>
      </w:r>
    </w:p>
    <w:p w14:paraId="09CA4689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/>
          <w:b/>
          <w:bCs/>
          <w:color w:val="000000"/>
          <w:sz w:val="24"/>
          <w:szCs w:val="24"/>
        </w:rPr>
        <w:br w:type="page"/>
      </w: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lastRenderedPageBreak/>
        <w:t>賽制</w:t>
      </w:r>
      <w:proofErr w:type="gramStart"/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及賽例</w:t>
      </w:r>
      <w:proofErr w:type="gramEnd"/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：</w:t>
      </w:r>
    </w:p>
    <w:p w14:paraId="3000BC0E" w14:textId="5B4E8E9C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男子組賽事設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許晉奎盾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、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許晉奎碟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及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許晉奎碗</w:t>
      </w:r>
      <w:r w:rsidR="00ED25BF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三項錦標。</w:t>
      </w:r>
      <w:r w:rsidR="00297284">
        <w:rPr>
          <w:rFonts w:ascii="新細明體" w:eastAsia="新細明體" w:hAnsi="新細明體" w:cs="Arial" w:hint="eastAsia"/>
          <w:color w:val="000000"/>
          <w:sz w:val="24"/>
          <w:szCs w:val="24"/>
        </w:rPr>
        <w:t>第三十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五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屆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許晉奎盾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及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許晉奎碟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首四名隊伍將抽籤編入分組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作種籽隊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，其他參賽隊伍亦以抽籤形式分配入各組。</w:t>
      </w:r>
    </w:p>
    <w:p w14:paraId="273B2719" w14:textId="04F83E98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賽事首先以計分制作分組單循環比賽，</w:t>
      </w:r>
      <w:r w:rsidR="004A4D8D" w:rsidRP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每組首、次名，三、四名及五、六名將經抽籤後分別編入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="004A4D8D"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許晉奎盾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="004A4D8D" w:rsidRP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、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="004A4D8D"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許晉奎碟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="004A4D8D" w:rsidRP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及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="004A4D8D"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許晉奎碗</w:t>
      </w:r>
      <w:r w:rsid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="004A4D8D" w:rsidRP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八強淘汰晉級</w:t>
      </w:r>
      <w:proofErr w:type="gramStart"/>
      <w:r w:rsidR="004A4D8D" w:rsidRPr="004A4D8D">
        <w:rPr>
          <w:rFonts w:ascii="新細明體" w:eastAsia="新細明體" w:hAnsi="新細明體" w:cs="Arial" w:hint="eastAsia"/>
          <w:color w:val="000000"/>
          <w:sz w:val="24"/>
          <w:szCs w:val="24"/>
        </w:rPr>
        <w:t>賽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至冠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、亞、季軍。</w:t>
      </w:r>
    </w:p>
    <w:p w14:paraId="2357C4E6" w14:textId="2504DF0D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女子組設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許晉奎盾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及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【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許晉奎碟</w:t>
      </w:r>
      <w:r w:rsidR="00193D4A">
        <w:rPr>
          <w:rFonts w:ascii="新細明體" w:eastAsia="新細明體" w:hAnsi="新細明體" w:cs="Arial" w:hint="eastAsia"/>
          <w:color w:val="000000"/>
          <w:sz w:val="24"/>
          <w:szCs w:val="24"/>
        </w:rPr>
        <w:t>】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賽事，八隊或以上參賽隊伍將用分組單循環後晉級四強淘汰制，少於八隊則以一組單循環比賽決定冠、亞、季軍。</w:t>
      </w:r>
    </w:p>
    <w:p w14:paraId="792964B9" w14:textId="77777777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所有賽事每場分四節進行，每節十分鐘，熱身時間三分鐘，每節完畢後休息兩分鐘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。</w:t>
      </w:r>
    </w:p>
    <w:p w14:paraId="4409FDC0" w14:textId="77777777" w:rsidR="00433BCE" w:rsidRPr="0006017A" w:rsidRDefault="00433BCE" w:rsidP="00433BCE">
      <w:pPr>
        <w:widowControl/>
        <w:numPr>
          <w:ilvl w:val="1"/>
          <w:numId w:val="2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常規賽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法定時間內未分勝負者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，採用「</w:t>
      </w: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黃金罰球制</w:t>
      </w:r>
      <w:r w:rsidR="00193D4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」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，以首先得分隊伍為勝方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。</w:t>
      </w:r>
    </w:p>
    <w:p w14:paraId="4E5881FF" w14:textId="279A71DE" w:rsidR="00433BCE" w:rsidRPr="0006017A" w:rsidRDefault="00433BCE" w:rsidP="00433BCE">
      <w:pPr>
        <w:widowControl/>
        <w:numPr>
          <w:ilvl w:val="1"/>
          <w:numId w:val="2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複賽及決賽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法定時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間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賽和，</w:t>
      </w: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加時</w:t>
      </w: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</w:rPr>
        <w:t>5</w:t>
      </w: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  <w:lang w:eastAsia="zh-HK"/>
        </w:rPr>
        <w:t>分鐘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  <w:lang w:eastAsia="zh-HK"/>
        </w:rPr>
        <w:t>，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加時時段雙方各有一次暫停，如仍未分勝負，需即時採用黃金入球制（即先入球者為勝）。如兩分鐘內任何一方仍未有入球，則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以</w:t>
      </w:r>
      <w:r w:rsidR="00F911BF" w:rsidRPr="00F911BF">
        <w:rPr>
          <w:rFonts w:ascii="新細明體" w:eastAsia="新細明體" w:hAnsi="新細明體" w:cs="Arial" w:hint="eastAsia"/>
          <w:color w:val="000000"/>
          <w:sz w:val="24"/>
          <w:szCs w:val="24"/>
        </w:rPr>
        <w:t>擲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毫方式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決定勝負。</w:t>
      </w:r>
    </w:p>
    <w:p w14:paraId="347FE5E9" w14:textId="77777777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全部比賽基本沿用最新國際籃球規則及籌委會通過之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規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條。每場賽事均聘用合格球證執法。對賽隊伍亦可即場派出代表一名，負責球隊與球證之間的溝通。</w:t>
      </w:r>
    </w:p>
    <w:p w14:paraId="29A3E00E" w14:textId="77777777" w:rsidR="00433BCE" w:rsidRPr="0006017A" w:rsidRDefault="00433BCE" w:rsidP="00433BCE">
      <w:pPr>
        <w:widowControl/>
        <w:numPr>
          <w:ilvl w:val="0"/>
          <w:numId w:val="3"/>
        </w:numPr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每隊出場比賽之五位球員必須有兩位或以上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是屬甲類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球員。第一次被發現違規的隊伍，將會被判全隊技術犯規，若球隊被發現在同一場比賽中，第二次違反甲乙類球員出賽規定，該隊伍將會即時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判作負方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論。</w:t>
      </w:r>
    </w:p>
    <w:p w14:paraId="0ED74CB6" w14:textId="77777777" w:rsidR="00433BCE" w:rsidRPr="007C0E14" w:rsidRDefault="00433BCE" w:rsidP="007C0E14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FF0000"/>
          <w:sz w:val="24"/>
          <w:szCs w:val="24"/>
        </w:rPr>
        <w:t>計時方法：</w:t>
      </w:r>
      <w:r w:rsidR="007C0E14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所有初賽賽事，包括加時，除暫停外，一律不需停</w:t>
      </w:r>
      <w:proofErr w:type="gramStart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錶</w:t>
      </w:r>
      <w:proofErr w:type="gramEnd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。第四節賽事在最後二分鐘於任何死球時停</w:t>
      </w:r>
      <w:proofErr w:type="gramStart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錶</w:t>
      </w:r>
      <w:proofErr w:type="gramEnd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。所有複賽及決賽賽事於最後一節及加時，任何死球停</w:t>
      </w:r>
      <w:proofErr w:type="gramStart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錶</w:t>
      </w:r>
      <w:proofErr w:type="gramEnd"/>
      <w:r w:rsidRPr="0006017A">
        <w:rPr>
          <w:rFonts w:ascii="新細明體" w:eastAsia="新細明體" w:hAnsi="新細明體" w:hint="eastAsia"/>
          <w:color w:val="FF0000"/>
          <w:sz w:val="24"/>
          <w:szCs w:val="24"/>
        </w:rPr>
        <w:t>。</w:t>
      </w:r>
    </w:p>
    <w:p w14:paraId="74A68A80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計分方法：</w:t>
      </w:r>
      <w:r w:rsidR="00492F99"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每場賽事勝方可得兩分，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負方可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得一分，棄權零分。男子組每組以積分最高之隊伍分別出線[許晉奎盾]、[許晉奎碟]或[許晉奎碗]八強。女子組以積分最高之隊伍出線[許晉奎盾]或[許晉奎碟]四強(八隊以上參賽球隊)。若兩隊積分相同則以勝者為勝排名，如遇三隊或以上同分，先以對賽結果決定排名，若仍未能分出勝負，將以互相對賽時之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得失球差決定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名次。倘再相同，便以初賽總得分或失分排名。</w:t>
      </w:r>
    </w:p>
    <w:p w14:paraId="341C4D08" w14:textId="77777777" w:rsidR="00433BCE" w:rsidRPr="0006017A" w:rsidRDefault="00433BCE" w:rsidP="00492F99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棄權：</w:t>
      </w:r>
      <w:r w:rsidR="00492F99"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凡逾時十分鐘還未能派隊出賽或不足法定人數（五名球員及合符甲乙類球員比例），違規隊伍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將判作棄權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，並判對方獲勝，比賽績分為20對0。同時，籌備委員將會沒收違規球隊五百元保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証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金，以支付該場場租及球證費用，並且不會另行安排後補賽事。若球隊於比賽中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違反賽例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，則該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場賽果將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會被取消，違規球隊會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判作負方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論，唯無須沒收五百元保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証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金。球隊如預知某場賽事未能派隊出賽，並能於一星期前通知賽會棄權，亦可以無須繳付任何費用。</w:t>
      </w:r>
    </w:p>
    <w:p w14:paraId="3CC4018D" w14:textId="3F353565" w:rsidR="00433BCE" w:rsidRPr="0006017A" w:rsidRDefault="00433BCE" w:rsidP="00433BCE">
      <w:pPr>
        <w:widowControl/>
        <w:adjustRightInd/>
        <w:jc w:val="both"/>
        <w:textAlignment w:val="auto"/>
        <w:rPr>
          <w:rFonts w:ascii="新細明體" w:eastAsia="新細明體" w:hAnsi="新細明體"/>
          <w:color w:val="000000"/>
          <w:sz w:val="24"/>
          <w:szCs w:val="24"/>
        </w:rPr>
      </w:pPr>
      <w:r w:rsidRPr="0006017A">
        <w:rPr>
          <w:rFonts w:ascii="新細明體" w:eastAsia="新細明體" w:hAnsi="新細明體" w:hint="eastAsia"/>
          <w:b/>
          <w:bCs/>
          <w:color w:val="000000"/>
          <w:sz w:val="24"/>
          <w:szCs w:val="24"/>
        </w:rPr>
        <w:lastRenderedPageBreak/>
        <w:t>裝備：</w:t>
      </w:r>
      <w:r w:rsidR="00492F99" w:rsidRPr="0006017A">
        <w:rPr>
          <w:rFonts w:ascii="新細明體" w:eastAsia="新細明體" w:hAnsi="新細明體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參賽隊伍必須穿著印有清晰號碼之球衣比賽，如遇相同顏色，</w:t>
      </w:r>
      <w:r w:rsidR="007E1533">
        <w:rPr>
          <w:rFonts w:ascii="新細明體" w:eastAsia="新細明體" w:hAnsi="新細明體" w:hint="eastAsia"/>
          <w:color w:val="000000"/>
          <w:sz w:val="24"/>
          <w:szCs w:val="24"/>
        </w:rPr>
        <w:t>「客隊」需於比賽前一天通知</w:t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賽會</w:t>
      </w:r>
      <w:r w:rsidR="007E1533">
        <w:rPr>
          <w:rFonts w:ascii="新細明體" w:eastAsia="新細明體" w:hAnsi="新細明體" w:hint="eastAsia"/>
          <w:color w:val="000000"/>
          <w:sz w:val="24"/>
          <w:szCs w:val="24"/>
        </w:rPr>
        <w:t>，要求提供</w:t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後備球衣。若球隊沒有足夠球衣而需使用賽會後備球衣，球隊需每次支付港幣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一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百元費用。比賽用籃球將由賽會提供，唯球隊應自備籃球熱身。</w:t>
      </w:r>
    </w:p>
    <w:p w14:paraId="467C494D" w14:textId="77777777" w:rsidR="00433BCE" w:rsidRPr="0006017A" w:rsidRDefault="00433BCE" w:rsidP="00492F99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更改賽期：</w:t>
      </w:r>
      <w:r w:rsidR="00492F99"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賽程編妥後如需更改，球隊必須自行預早與對賽隊伍及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受調場影響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之隊伍議定時間，再於兩星期前通知賽會批核。如遇黑色暴雨訊號或懸掛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八號風球則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賽事自動取消，賽會將另定日期補賽。</w:t>
      </w:r>
    </w:p>
    <w:p w14:paraId="2914E8F7" w14:textId="77777777" w:rsidR="00433BCE" w:rsidRPr="0006017A" w:rsidRDefault="00433BCE" w:rsidP="00492F99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上訴：</w:t>
      </w:r>
      <w:r w:rsidR="00492F99"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賽會不設賽事上訴，球隊須服從裁判，遇有疑問時，將由球隊代表</w:t>
      </w:r>
      <w:proofErr w:type="gramStart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聯同球證</w:t>
      </w:r>
      <w:proofErr w:type="gramEnd"/>
      <w:r w:rsidRPr="0006017A">
        <w:rPr>
          <w:rFonts w:ascii="新細明體" w:eastAsia="新細明體" w:hAnsi="新細明體" w:hint="eastAsia"/>
          <w:color w:val="000000"/>
          <w:sz w:val="24"/>
          <w:szCs w:val="24"/>
        </w:rPr>
        <w:t>，根據賽會規例即場作出最後裁決。球隊代表亦可直接向賽會表達意見。</w:t>
      </w:r>
    </w:p>
    <w:p w14:paraId="223A04FA" w14:textId="618978A3" w:rsidR="00433BCE" w:rsidRPr="006066D5" w:rsidRDefault="00433BCE" w:rsidP="005444D0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截止報名日期：</w:t>
      </w:r>
      <w:r w:rsidR="00A6186C" w:rsidRPr="0006017A">
        <w:rPr>
          <w:rFonts w:ascii="新細明體" w:eastAsia="新細明體" w:hAnsi="新細明體" w:cs="Arial"/>
          <w:b/>
          <w:bCs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男子組每隊</w:t>
      </w:r>
      <w:r w:rsidR="005D7A6F" w:rsidRP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約</w:t>
      </w:r>
      <w:r w:rsidR="005D7A6F"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港幣</w:t>
      </w:r>
      <w:r w:rsidR="005D7A6F" w:rsidRP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6800至7900元（視乎參賽隊伍數目而定）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，女子組每隊</w:t>
      </w:r>
      <w:r w:rsidR="009C1ED0">
        <w:rPr>
          <w:rFonts w:ascii="新細明體" w:eastAsia="新細明體" w:hAnsi="新細明體" w:cs="Arial"/>
          <w:color w:val="000000"/>
          <w:sz w:val="24"/>
          <w:szCs w:val="24"/>
        </w:rPr>
        <w:t>4300</w:t>
      </w:r>
      <w:r w:rsidR="005444D0" w:rsidRPr="005444D0">
        <w:rPr>
          <w:rFonts w:ascii="新細明體" w:eastAsia="新細明體" w:hAnsi="新細明體" w:cs="Arial" w:hint="eastAsia"/>
          <w:color w:val="000000"/>
          <w:sz w:val="24"/>
          <w:szCs w:val="24"/>
        </w:rPr>
        <w:t>元</w:t>
      </w:r>
      <w:r w:rsidR="005444D0">
        <w:rPr>
          <w:rFonts w:ascii="新細明體" w:eastAsia="新細明體" w:hAnsi="新細明體" w:cs="Arial" w:hint="eastAsia"/>
          <w:color w:val="000000"/>
          <w:sz w:val="24"/>
          <w:szCs w:val="24"/>
        </w:rPr>
        <w:t>正</w:t>
      </w:r>
      <w:r w:rsidR="00145AE2">
        <w:rPr>
          <w:rFonts w:ascii="新細明體" w:eastAsia="新細明體" w:hAnsi="新細明體" w:cs="Arial" w:hint="eastAsia"/>
          <w:color w:val="000000"/>
          <w:sz w:val="24"/>
          <w:szCs w:val="24"/>
        </w:rPr>
        <w:t>，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每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隊須另繳</w:t>
      </w:r>
      <w:proofErr w:type="gramEnd"/>
      <w:r w:rsidR="00B75A8F">
        <w:rPr>
          <w:rFonts w:ascii="新細明體" w:eastAsia="新細明體" w:hAnsi="新細明體" w:cs="Arial" w:hint="eastAsia"/>
          <w:color w:val="000000"/>
          <w:sz w:val="24"/>
          <w:szCs w:val="24"/>
        </w:rPr>
        <w:t>500</w:t>
      </w:r>
      <w:r w:rsidR="00FF3A61" w:rsidRPr="00FF3A61">
        <w:rPr>
          <w:rFonts w:ascii="新細明體" w:eastAsia="新細明體" w:hAnsi="新細明體" w:cs="Arial" w:hint="eastAsia"/>
          <w:color w:val="000000"/>
          <w:sz w:val="24"/>
          <w:szCs w:val="24"/>
        </w:rPr>
        <w:t>元正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保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証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金，參賽隊伍如在上屆或之前參賽時已向賽會繳付保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証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金，則無需再次繳付。截止報名日期為</w:t>
      </w:r>
      <w:r w:rsidR="006066D5">
        <w:rPr>
          <w:rFonts w:ascii="新細明體" w:eastAsia="新細明體" w:hAnsi="新細明體" w:cs="Arial" w:hint="eastAsia"/>
          <w:color w:val="000000"/>
          <w:sz w:val="24"/>
          <w:szCs w:val="24"/>
        </w:rPr>
        <w:t>20</w:t>
      </w:r>
      <w:r w:rsidR="0010520E">
        <w:rPr>
          <w:rFonts w:ascii="新細明體" w:eastAsia="新細明體" w:hAnsi="新細明體" w:cs="Arial" w:hint="eastAsia"/>
          <w:color w:val="000000"/>
          <w:sz w:val="24"/>
          <w:szCs w:val="24"/>
        </w:rPr>
        <w:t>2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5</w:t>
      </w:r>
      <w:r w:rsidR="006066D5">
        <w:rPr>
          <w:rFonts w:ascii="新細明體" w:eastAsia="新細明體" w:hAnsi="新細明體" w:cs="Arial" w:hint="eastAsia"/>
          <w:color w:val="000000"/>
          <w:sz w:val="24"/>
          <w:szCs w:val="24"/>
        </w:rPr>
        <w:t>年</w:t>
      </w:r>
      <w:r w:rsidR="003653A4">
        <w:rPr>
          <w:rFonts w:ascii="新細明體" w:eastAsia="新細明體" w:hAnsi="新細明體" w:cs="Arial" w:hint="eastAsia"/>
          <w:color w:val="000000"/>
          <w:sz w:val="24"/>
          <w:szCs w:val="24"/>
        </w:rPr>
        <w:t>8</w:t>
      </w:r>
      <w:r w:rsidR="006066D5">
        <w:rPr>
          <w:rFonts w:ascii="新細明體" w:eastAsia="新細明體" w:hAnsi="新細明體" w:cs="Arial" w:hint="eastAsia"/>
          <w:color w:val="000000"/>
          <w:sz w:val="24"/>
          <w:szCs w:val="24"/>
        </w:rPr>
        <w:t>月</w:t>
      </w:r>
      <w:r w:rsidR="003653A4">
        <w:rPr>
          <w:rFonts w:ascii="新細明體" w:eastAsia="新細明體" w:hAnsi="新細明體" w:cs="Arial" w:hint="eastAsia"/>
          <w:color w:val="000000"/>
          <w:sz w:val="24"/>
          <w:szCs w:val="24"/>
        </w:rPr>
        <w:t>3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1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日。請填妥報名表格，於該日</w:t>
      </w:r>
      <w:r w:rsidR="0010520E">
        <w:rPr>
          <w:rFonts w:ascii="新細明體" w:eastAsia="新細明體" w:hAnsi="新細明體" w:cs="Arial" w:hint="eastAsia"/>
          <w:color w:val="000000"/>
          <w:sz w:val="24"/>
          <w:szCs w:val="24"/>
        </w:rPr>
        <w:t>或之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前寄交</w:t>
      </w:r>
      <w:r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香港灣仔軒尼詩道十五號溫莎公爵社會服務大廈十一樓</w:t>
      </w:r>
      <w:r w:rsidR="007353EE"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 xml:space="preserve"> 或是電郵</w:t>
      </w:r>
      <w:r w:rsid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 xml:space="preserve"> </w:t>
      </w:r>
      <w:r w:rsidR="007353EE"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r</w:t>
      </w:r>
      <w:r w:rsidR="007353EE" w:rsidRPr="007353EE">
        <w:rPr>
          <w:rFonts w:ascii="新細明體" w:eastAsia="新細明體" w:hAnsi="新細明體" w:cs="Arial"/>
          <w:b/>
          <w:iCs/>
          <w:color w:val="000000"/>
          <w:sz w:val="24"/>
          <w:szCs w:val="24"/>
          <w:u w:val="single"/>
        </w:rPr>
        <w:t xml:space="preserve">ay.yeung@hkcss.org.hk </w:t>
      </w:r>
      <w:r w:rsidR="007353EE"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給</w:t>
      </w:r>
      <w:r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香港社會服務聯</w:t>
      </w:r>
      <w:r w:rsidR="006066D5"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楊德威</w:t>
      </w:r>
      <w:r w:rsidRPr="007353EE">
        <w:rPr>
          <w:rFonts w:ascii="新細明體" w:eastAsia="新細明體" w:hAnsi="新細明體" w:cs="Arial" w:hint="eastAsia"/>
          <w:b/>
          <w:iCs/>
          <w:color w:val="000000"/>
          <w:sz w:val="24"/>
          <w:szCs w:val="24"/>
          <w:u w:val="single"/>
        </w:rPr>
        <w:t>先生</w:t>
      </w:r>
      <w:r w:rsidRPr="007353EE">
        <w:rPr>
          <w:rFonts w:ascii="新細明體" w:eastAsia="新細明體" w:hAnsi="新細明體" w:cs="Arial" w:hint="eastAsia"/>
          <w:b/>
          <w:color w:val="000000"/>
          <w:sz w:val="24"/>
          <w:szCs w:val="24"/>
          <w:u w:val="single"/>
        </w:rPr>
        <w:t>收</w:t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。</w:t>
      </w:r>
      <w:r w:rsidR="006066D5" w:rsidRPr="006066D5">
        <w:rPr>
          <w:rFonts w:ascii="新細明體" w:eastAsia="新細明體" w:hAnsi="新細明體" w:cs="Arial" w:hint="eastAsia"/>
          <w:color w:val="000000"/>
          <w:sz w:val="24"/>
          <w:szCs w:val="24"/>
        </w:rPr>
        <w:t>而大會將於稍後公布繳交參與費用的安排。</w:t>
      </w:r>
    </w:p>
    <w:p w14:paraId="26DDBBF8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b/>
          <w:bCs/>
          <w:color w:val="000000"/>
          <w:sz w:val="24"/>
          <w:szCs w:val="24"/>
        </w:rPr>
        <w:t>獎品：</w:t>
      </w:r>
      <w:r w:rsidR="00FF3EE4" w:rsidRPr="0006017A">
        <w:rPr>
          <w:rFonts w:ascii="新細明體" w:eastAsia="新細明體" w:hAnsi="新細明體" w:cs="Arial"/>
          <w:color w:val="000000"/>
          <w:sz w:val="24"/>
          <w:szCs w:val="24"/>
        </w:rPr>
        <w:br/>
      </w: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比賽將設</w:t>
      </w:r>
      <w:proofErr w:type="gramStart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隊制冠</w:t>
      </w:r>
      <w:proofErr w:type="gramEnd"/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、亞、季軍獎、個人神射手獎（累積得分最高者）。</w:t>
      </w:r>
    </w:p>
    <w:p w14:paraId="2353BF40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微軟正黑體" w:hint="eastAsia"/>
          <w:b/>
          <w:bCs/>
          <w:color w:val="000000"/>
          <w:sz w:val="24"/>
          <w:szCs w:val="24"/>
        </w:rPr>
        <w:t>賽會保留一切</w:t>
      </w:r>
      <w:proofErr w:type="gramStart"/>
      <w:r w:rsidRPr="0006017A">
        <w:rPr>
          <w:rFonts w:ascii="新細明體" w:eastAsia="新細明體" w:hAnsi="新細明體" w:cs="微軟正黑體" w:hint="eastAsia"/>
          <w:b/>
          <w:bCs/>
          <w:color w:val="000000"/>
          <w:sz w:val="24"/>
          <w:szCs w:val="24"/>
        </w:rPr>
        <w:t>更改賽例之</w:t>
      </w:r>
      <w:proofErr w:type="gramEnd"/>
      <w:r w:rsidRPr="0006017A">
        <w:rPr>
          <w:rFonts w:ascii="新細明體" w:eastAsia="新細明體" w:hAnsi="新細明體" w:cs="微軟正黑體" w:hint="eastAsia"/>
          <w:b/>
          <w:bCs/>
          <w:color w:val="000000"/>
          <w:sz w:val="24"/>
          <w:szCs w:val="24"/>
        </w:rPr>
        <w:t>權利</w:t>
      </w:r>
      <w:r w:rsidRPr="0006017A">
        <w:rPr>
          <w:rFonts w:ascii="新細明體" w:eastAsia="新細明體" w:hAnsi="新細明體" w:cs="微軟正黑體"/>
          <w:b/>
          <w:bCs/>
          <w:color w:val="000000"/>
          <w:sz w:val="24"/>
          <w:szCs w:val="24"/>
        </w:rPr>
        <w:t>。</w:t>
      </w:r>
    </w:p>
    <w:p w14:paraId="5EDCC361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/>
          <w:color w:val="000000"/>
          <w:sz w:val="24"/>
          <w:szCs w:val="24"/>
        </w:rPr>
        <w:t> </w:t>
      </w:r>
    </w:p>
    <w:p w14:paraId="564044DE" w14:textId="77777777" w:rsidR="00305329" w:rsidRDefault="00305329" w:rsidP="00433BCE">
      <w:pPr>
        <w:widowControl/>
        <w:adjustRightInd/>
        <w:spacing w:before="100" w:beforeAutospacing="1" w:after="100" w:afterAutospacing="1"/>
        <w:jc w:val="right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</w:p>
    <w:p w14:paraId="7A9ED050" w14:textId="77777777" w:rsidR="00433BCE" w:rsidRPr="0006017A" w:rsidRDefault="00433BCE" w:rsidP="00433BCE">
      <w:pPr>
        <w:widowControl/>
        <w:adjustRightInd/>
        <w:spacing w:before="100" w:beforeAutospacing="1" w:after="100" w:afterAutospacing="1"/>
        <w:jc w:val="right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社工機構籃球賽籌備委員會制訂</w:t>
      </w:r>
    </w:p>
    <w:p w14:paraId="39AA7AD5" w14:textId="1FF1F0FA" w:rsidR="00433BCE" w:rsidRPr="0006017A" w:rsidRDefault="005D06BB" w:rsidP="00433BCE">
      <w:pPr>
        <w:widowControl/>
        <w:adjustRightInd/>
        <w:spacing w:before="100" w:beforeAutospacing="1" w:after="100" w:afterAutospacing="1"/>
        <w:jc w:val="right"/>
        <w:textAlignment w:val="auto"/>
        <w:rPr>
          <w:rFonts w:ascii="新細明體" w:eastAsia="新細明體" w:hAnsi="新細明體" w:cs="Arial"/>
          <w:color w:val="000000"/>
          <w:sz w:val="24"/>
          <w:szCs w:val="24"/>
        </w:rPr>
      </w:pPr>
      <w:r>
        <w:rPr>
          <w:rFonts w:ascii="新細明體" w:eastAsia="新細明體" w:hAnsi="新細明體" w:cs="Arial" w:hint="eastAsia"/>
          <w:color w:val="000000"/>
          <w:sz w:val="24"/>
          <w:szCs w:val="24"/>
        </w:rPr>
        <w:t>202</w:t>
      </w:r>
      <w:r w:rsidR="005D7A6F">
        <w:rPr>
          <w:rFonts w:ascii="新細明體" w:eastAsia="新細明體" w:hAnsi="新細明體" w:cs="Arial" w:hint="eastAsia"/>
          <w:color w:val="000000"/>
          <w:sz w:val="24"/>
          <w:szCs w:val="24"/>
        </w:rPr>
        <w:t>5</w:t>
      </w:r>
      <w:r>
        <w:rPr>
          <w:rFonts w:ascii="新細明體" w:eastAsia="新細明體" w:hAnsi="新細明體" w:cs="Arial" w:hint="eastAsia"/>
          <w:color w:val="000000"/>
          <w:sz w:val="24"/>
          <w:szCs w:val="24"/>
        </w:rPr>
        <w:t>年</w:t>
      </w:r>
      <w:r w:rsidR="006E3E1D">
        <w:rPr>
          <w:rFonts w:ascii="新細明體" w:eastAsia="新細明體" w:hAnsi="新細明體" w:cs="Arial" w:hint="eastAsia"/>
          <w:color w:val="000000"/>
          <w:sz w:val="24"/>
          <w:szCs w:val="24"/>
        </w:rPr>
        <w:t>7</w:t>
      </w:r>
      <w:r>
        <w:rPr>
          <w:rFonts w:ascii="新細明體" w:eastAsia="新細明體" w:hAnsi="新細明體" w:cs="Arial" w:hint="eastAsia"/>
          <w:color w:val="000000"/>
          <w:sz w:val="24"/>
          <w:szCs w:val="24"/>
        </w:rPr>
        <w:t>月</w:t>
      </w:r>
      <w:r w:rsidR="00D344E9">
        <w:rPr>
          <w:rFonts w:ascii="新細明體" w:eastAsia="新細明體" w:hAnsi="新細明體" w:cs="Arial"/>
          <w:color w:val="000000"/>
          <w:sz w:val="24"/>
          <w:szCs w:val="24"/>
        </w:rPr>
        <w:t>30</w:t>
      </w:r>
      <w:r w:rsidR="00433BCE" w:rsidRPr="0006017A">
        <w:rPr>
          <w:rFonts w:ascii="新細明體" w:eastAsia="新細明體" w:hAnsi="新細明體" w:cs="Arial" w:hint="eastAsia"/>
          <w:color w:val="000000"/>
          <w:sz w:val="24"/>
          <w:szCs w:val="24"/>
        </w:rPr>
        <w:t>日</w:t>
      </w:r>
    </w:p>
    <w:p w14:paraId="5C371B43" w14:textId="77777777" w:rsidR="00BC59EB" w:rsidRPr="0006017A" w:rsidRDefault="00BC59EB" w:rsidP="00433BCE">
      <w:pPr>
        <w:rPr>
          <w:rFonts w:ascii="新細明體" w:eastAsia="新細明體" w:hAnsi="新細明體"/>
          <w:sz w:val="24"/>
          <w:szCs w:val="24"/>
        </w:rPr>
      </w:pPr>
    </w:p>
    <w:sectPr w:rsidR="00BC59EB" w:rsidRPr="0006017A" w:rsidSect="00433BCE">
      <w:footerReference w:type="even" r:id="rId7"/>
      <w:footerReference w:type="default" r:id="rId8"/>
      <w:pgSz w:w="11907" w:h="16840" w:code="9"/>
      <w:pgMar w:top="1710" w:right="1440" w:bottom="720" w:left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86E5" w14:textId="77777777" w:rsidR="00D26E8C" w:rsidRDefault="00D26E8C">
      <w:r>
        <w:separator/>
      </w:r>
    </w:p>
  </w:endnote>
  <w:endnote w:type="continuationSeparator" w:id="0">
    <w:p w14:paraId="7D5F38FC" w14:textId="77777777" w:rsidR="00D26E8C" w:rsidRDefault="00D2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7AC" w14:textId="77777777" w:rsidR="00BC59EB" w:rsidRDefault="00BC59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9C5091" w14:textId="77777777" w:rsidR="00BC59EB" w:rsidRDefault="00BC59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EC64" w14:textId="77777777" w:rsidR="00BC59EB" w:rsidRDefault="00BC59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21A2">
      <w:rPr>
        <w:rStyle w:val="a7"/>
        <w:noProof/>
      </w:rPr>
      <w:t>3</w:t>
    </w:r>
    <w:r>
      <w:rPr>
        <w:rStyle w:val="a7"/>
      </w:rPr>
      <w:fldChar w:fldCharType="end"/>
    </w:r>
  </w:p>
  <w:p w14:paraId="4B5A7A6A" w14:textId="77777777" w:rsidR="00BC59EB" w:rsidRDefault="00BC59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E85E" w14:textId="77777777" w:rsidR="00D26E8C" w:rsidRDefault="00D26E8C">
      <w:r>
        <w:separator/>
      </w:r>
    </w:p>
  </w:footnote>
  <w:footnote w:type="continuationSeparator" w:id="0">
    <w:p w14:paraId="67DEAF56" w14:textId="77777777" w:rsidR="00D26E8C" w:rsidRDefault="00D2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6C5"/>
    <w:multiLevelType w:val="hybridMultilevel"/>
    <w:tmpl w:val="5B74DDA2"/>
    <w:lvl w:ilvl="0" w:tplc="283E4AC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DA44C20">
      <w:start w:val="4"/>
      <w:numFmt w:val="bullet"/>
      <w:lvlText w:val="-"/>
      <w:lvlJc w:val="left"/>
      <w:pPr>
        <w:ind w:left="14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F99"/>
    <w:multiLevelType w:val="hybridMultilevel"/>
    <w:tmpl w:val="22B4CA46"/>
    <w:lvl w:ilvl="0" w:tplc="79AA0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C57EBD"/>
    <w:multiLevelType w:val="hybridMultilevel"/>
    <w:tmpl w:val="F2401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B"/>
    <w:rsid w:val="00013ED5"/>
    <w:rsid w:val="00016E71"/>
    <w:rsid w:val="0003126F"/>
    <w:rsid w:val="0006017A"/>
    <w:rsid w:val="000719E0"/>
    <w:rsid w:val="000B370C"/>
    <w:rsid w:val="000B731C"/>
    <w:rsid w:val="0010520E"/>
    <w:rsid w:val="001107D0"/>
    <w:rsid w:val="00125FDD"/>
    <w:rsid w:val="001366C7"/>
    <w:rsid w:val="00145AE2"/>
    <w:rsid w:val="00193D4A"/>
    <w:rsid w:val="00197040"/>
    <w:rsid w:val="002556DC"/>
    <w:rsid w:val="0028209E"/>
    <w:rsid w:val="00297284"/>
    <w:rsid w:val="002B4E47"/>
    <w:rsid w:val="002D6E51"/>
    <w:rsid w:val="0030153E"/>
    <w:rsid w:val="00302483"/>
    <w:rsid w:val="0030329C"/>
    <w:rsid w:val="00305329"/>
    <w:rsid w:val="00357BCB"/>
    <w:rsid w:val="003653A4"/>
    <w:rsid w:val="00407F32"/>
    <w:rsid w:val="004226D5"/>
    <w:rsid w:val="00433BCE"/>
    <w:rsid w:val="00454D38"/>
    <w:rsid w:val="00461C8D"/>
    <w:rsid w:val="00462EFA"/>
    <w:rsid w:val="00492F99"/>
    <w:rsid w:val="004A1D83"/>
    <w:rsid w:val="004A4D8D"/>
    <w:rsid w:val="004A5B52"/>
    <w:rsid w:val="004A7817"/>
    <w:rsid w:val="004B1DD6"/>
    <w:rsid w:val="005265EF"/>
    <w:rsid w:val="005321A2"/>
    <w:rsid w:val="00536E30"/>
    <w:rsid w:val="005444D0"/>
    <w:rsid w:val="00557044"/>
    <w:rsid w:val="00557926"/>
    <w:rsid w:val="005B0A51"/>
    <w:rsid w:val="005C2E84"/>
    <w:rsid w:val="005D06BB"/>
    <w:rsid w:val="005D7A6F"/>
    <w:rsid w:val="005E173A"/>
    <w:rsid w:val="006066D5"/>
    <w:rsid w:val="0063481B"/>
    <w:rsid w:val="006400C9"/>
    <w:rsid w:val="00674258"/>
    <w:rsid w:val="00695C0C"/>
    <w:rsid w:val="006E1BAF"/>
    <w:rsid w:val="006E3E1D"/>
    <w:rsid w:val="00702975"/>
    <w:rsid w:val="007353EE"/>
    <w:rsid w:val="007669C3"/>
    <w:rsid w:val="0078613A"/>
    <w:rsid w:val="007A2048"/>
    <w:rsid w:val="007A2446"/>
    <w:rsid w:val="007C0E14"/>
    <w:rsid w:val="007C3AD8"/>
    <w:rsid w:val="007D3EF4"/>
    <w:rsid w:val="007E1533"/>
    <w:rsid w:val="00817D07"/>
    <w:rsid w:val="008228AC"/>
    <w:rsid w:val="00851C8C"/>
    <w:rsid w:val="00876EC5"/>
    <w:rsid w:val="0089310A"/>
    <w:rsid w:val="008B586B"/>
    <w:rsid w:val="008C0F16"/>
    <w:rsid w:val="008D3CFC"/>
    <w:rsid w:val="0090067A"/>
    <w:rsid w:val="00937DFE"/>
    <w:rsid w:val="009471E1"/>
    <w:rsid w:val="00972430"/>
    <w:rsid w:val="009C1ED0"/>
    <w:rsid w:val="00A11DF8"/>
    <w:rsid w:val="00A4428C"/>
    <w:rsid w:val="00A6186C"/>
    <w:rsid w:val="00A72682"/>
    <w:rsid w:val="00AC0D97"/>
    <w:rsid w:val="00AD132D"/>
    <w:rsid w:val="00AD2738"/>
    <w:rsid w:val="00B11F95"/>
    <w:rsid w:val="00B7135E"/>
    <w:rsid w:val="00B75A8F"/>
    <w:rsid w:val="00B77583"/>
    <w:rsid w:val="00BB5D79"/>
    <w:rsid w:val="00BC59EB"/>
    <w:rsid w:val="00BE1830"/>
    <w:rsid w:val="00C261C5"/>
    <w:rsid w:val="00C74B73"/>
    <w:rsid w:val="00D21619"/>
    <w:rsid w:val="00D26E8C"/>
    <w:rsid w:val="00D334B3"/>
    <w:rsid w:val="00D344E9"/>
    <w:rsid w:val="00D3766D"/>
    <w:rsid w:val="00DA6ECF"/>
    <w:rsid w:val="00DF6570"/>
    <w:rsid w:val="00DF6DB1"/>
    <w:rsid w:val="00E138AD"/>
    <w:rsid w:val="00E806D1"/>
    <w:rsid w:val="00E829DF"/>
    <w:rsid w:val="00E9427F"/>
    <w:rsid w:val="00EC3BAD"/>
    <w:rsid w:val="00ED25BF"/>
    <w:rsid w:val="00ED6A06"/>
    <w:rsid w:val="00F17DB6"/>
    <w:rsid w:val="00F35C30"/>
    <w:rsid w:val="00F55DD2"/>
    <w:rsid w:val="00F76D24"/>
    <w:rsid w:val="00F911BF"/>
    <w:rsid w:val="00F9543C"/>
    <w:rsid w:val="00FF3A61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019F"/>
  <w15:docId w15:val="{4EFCA4DC-E5DE-47E0-A37A-C65649F3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9EB"/>
    <w:pPr>
      <w:widowControl w:val="0"/>
      <w:adjustRightInd w:val="0"/>
      <w:textAlignment w:val="baseline"/>
    </w:pPr>
    <w:rPr>
      <w:rFonts w:ascii="CG Times (WN)" w:eastAsia="細明體" w:hAnsi="CG Times (WN)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59EB"/>
    <w:pPr>
      <w:widowControl/>
      <w:tabs>
        <w:tab w:val="left" w:pos="630"/>
        <w:tab w:val="left" w:pos="720"/>
      </w:tabs>
      <w:autoSpaceDE w:val="0"/>
      <w:autoSpaceDN w:val="0"/>
      <w:jc w:val="both"/>
      <w:textAlignment w:val="bottom"/>
    </w:pPr>
    <w:rPr>
      <w:rFonts w:ascii="新細明體" w:eastAsia="新細明體" w:hAnsi="新細明體"/>
      <w:sz w:val="24"/>
    </w:rPr>
  </w:style>
  <w:style w:type="character" w:customStyle="1" w:styleId="a4">
    <w:name w:val="本文 字元"/>
    <w:link w:val="a3"/>
    <w:semiHidden/>
    <w:rsid w:val="00BC59EB"/>
    <w:rPr>
      <w:rFonts w:ascii="新細明體" w:eastAsia="新細明體" w:hAnsi="新細明體" w:cs="Times New Roman"/>
      <w:kern w:val="0"/>
      <w:szCs w:val="20"/>
    </w:rPr>
  </w:style>
  <w:style w:type="paragraph" w:styleId="2">
    <w:name w:val="Body Text 2"/>
    <w:basedOn w:val="a"/>
    <w:link w:val="20"/>
    <w:semiHidden/>
    <w:rsid w:val="00BC59EB"/>
    <w:pPr>
      <w:widowControl/>
      <w:tabs>
        <w:tab w:val="left" w:pos="630"/>
        <w:tab w:val="left" w:pos="720"/>
        <w:tab w:val="left" w:pos="2340"/>
      </w:tabs>
      <w:autoSpaceDE w:val="0"/>
      <w:autoSpaceDN w:val="0"/>
      <w:jc w:val="both"/>
      <w:textAlignment w:val="bottom"/>
    </w:pPr>
    <w:rPr>
      <w:rFonts w:ascii="新細明體" w:eastAsia="新細明體" w:hAnsi="新細明體"/>
      <w:sz w:val="24"/>
      <w:u w:val="single"/>
    </w:rPr>
  </w:style>
  <w:style w:type="character" w:customStyle="1" w:styleId="20">
    <w:name w:val="本文 2 字元"/>
    <w:link w:val="2"/>
    <w:semiHidden/>
    <w:rsid w:val="00BC59EB"/>
    <w:rPr>
      <w:rFonts w:ascii="新細明體" w:eastAsia="新細明體" w:hAnsi="新細明體" w:cs="Times New Roman"/>
      <w:kern w:val="0"/>
      <w:szCs w:val="20"/>
      <w:u w:val="single"/>
    </w:rPr>
  </w:style>
  <w:style w:type="paragraph" w:styleId="3">
    <w:name w:val="Body Text 3"/>
    <w:basedOn w:val="a"/>
    <w:link w:val="30"/>
    <w:semiHidden/>
    <w:rsid w:val="00BC59EB"/>
    <w:pPr>
      <w:widowControl/>
      <w:tabs>
        <w:tab w:val="left" w:pos="630"/>
        <w:tab w:val="left" w:pos="720"/>
      </w:tabs>
      <w:autoSpaceDE w:val="0"/>
      <w:autoSpaceDN w:val="0"/>
      <w:spacing w:beforeLines="50" w:before="120"/>
      <w:jc w:val="both"/>
      <w:textAlignment w:val="bottom"/>
    </w:pPr>
    <w:rPr>
      <w:rFonts w:ascii="新細明體" w:eastAsia="新細明體" w:hAnsi="新細明體"/>
    </w:rPr>
  </w:style>
  <w:style w:type="character" w:customStyle="1" w:styleId="30">
    <w:name w:val="本文 3 字元"/>
    <w:link w:val="3"/>
    <w:semiHidden/>
    <w:rsid w:val="00BC59EB"/>
    <w:rPr>
      <w:rFonts w:ascii="新細明體" w:eastAsia="新細明體" w:hAnsi="新細明體" w:cs="Times New Roman"/>
      <w:kern w:val="0"/>
      <w:sz w:val="22"/>
      <w:szCs w:val="20"/>
    </w:rPr>
  </w:style>
  <w:style w:type="paragraph" w:styleId="a5">
    <w:name w:val="footer"/>
    <w:basedOn w:val="a"/>
    <w:link w:val="a6"/>
    <w:semiHidden/>
    <w:rsid w:val="00BC59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rsid w:val="00BC59EB"/>
    <w:rPr>
      <w:rFonts w:ascii="CG Times (WN)" w:eastAsia="細明體" w:hAnsi="CG Times (WN)" w:cs="Times New Roman"/>
      <w:kern w:val="0"/>
      <w:sz w:val="20"/>
      <w:szCs w:val="20"/>
    </w:rPr>
  </w:style>
  <w:style w:type="character" w:styleId="a7">
    <w:name w:val="page number"/>
    <w:basedOn w:val="a0"/>
    <w:semiHidden/>
    <w:rsid w:val="00BC59EB"/>
  </w:style>
  <w:style w:type="paragraph" w:styleId="a8">
    <w:name w:val="header"/>
    <w:basedOn w:val="a"/>
    <w:link w:val="a9"/>
    <w:uiPriority w:val="99"/>
    <w:unhideWhenUsed/>
    <w:rsid w:val="009724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972430"/>
    <w:rPr>
      <w:rFonts w:ascii="CG Times (WN)" w:eastAsia="細明體" w:hAnsi="CG Times (WN)"/>
    </w:rPr>
  </w:style>
  <w:style w:type="paragraph" w:customStyle="1" w:styleId="auto-style1">
    <w:name w:val="auto-style1"/>
    <w:basedOn w:val="a"/>
    <w:rsid w:val="00433BCE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auto-style2">
    <w:name w:val="auto-style2"/>
    <w:basedOn w:val="a"/>
    <w:rsid w:val="00433BCE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style2">
    <w:name w:val="style2"/>
    <w:rsid w:val="00433BCE"/>
  </w:style>
  <w:style w:type="character" w:styleId="aa">
    <w:name w:val="Strong"/>
    <w:uiPriority w:val="22"/>
    <w:qFormat/>
    <w:rsid w:val="00433BCE"/>
    <w:rPr>
      <w:b/>
      <w:bCs/>
    </w:rPr>
  </w:style>
  <w:style w:type="paragraph" w:customStyle="1" w:styleId="auto-style3">
    <w:name w:val="auto-style3"/>
    <w:basedOn w:val="a"/>
    <w:rsid w:val="00433BCE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3BCE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2738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D2738"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193D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3D4A"/>
  </w:style>
  <w:style w:type="character" w:customStyle="1" w:styleId="af">
    <w:name w:val="註解文字 字元"/>
    <w:link w:val="ae"/>
    <w:uiPriority w:val="99"/>
    <w:semiHidden/>
    <w:rsid w:val="00193D4A"/>
    <w:rPr>
      <w:rFonts w:ascii="CG Times (WN)" w:eastAsia="細明體" w:hAnsi="CG Times (WN)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3D4A"/>
    <w:rPr>
      <w:b/>
      <w:bCs/>
    </w:rPr>
  </w:style>
  <w:style w:type="character" w:customStyle="1" w:styleId="af1">
    <w:name w:val="註解主旨 字元"/>
    <w:link w:val="af0"/>
    <w:uiPriority w:val="99"/>
    <w:semiHidden/>
    <w:rsid w:val="00193D4A"/>
    <w:rPr>
      <w:rFonts w:ascii="CG Times (WN)" w:eastAsia="細明體" w:hAnsi="CG Times (WN)"/>
      <w:b/>
      <w:bCs/>
      <w:sz w:val="22"/>
    </w:rPr>
  </w:style>
  <w:style w:type="character" w:styleId="af2">
    <w:name w:val="Hyperlink"/>
    <w:basedOn w:val="a0"/>
    <w:uiPriority w:val="99"/>
    <w:unhideWhenUsed/>
    <w:rsid w:val="007353E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3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s0025</dc:creator>
  <cp:lastModifiedBy>Ray YEUNG</cp:lastModifiedBy>
  <cp:revision>4</cp:revision>
  <cp:lastPrinted>2015-08-05T02:49:00Z</cp:lastPrinted>
  <dcterms:created xsi:type="dcterms:W3CDTF">2024-07-30T02:21:00Z</dcterms:created>
  <dcterms:modified xsi:type="dcterms:W3CDTF">2025-07-10T02:54:00Z</dcterms:modified>
</cp:coreProperties>
</file>